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8714" w14:textId="618C2AAC" w:rsidR="004262EF" w:rsidRPr="004262EF" w:rsidRDefault="004262EF" w:rsidP="004262EF">
      <w:pPr>
        <w:spacing w:after="0" w:line="276" w:lineRule="auto"/>
        <w:ind w:left="720"/>
        <w:jc w:val="center"/>
        <w:rPr>
          <w:rFonts w:ascii="Helvetica" w:hAnsi="Helvetica"/>
          <w:color w:val="333333"/>
          <w:sz w:val="28"/>
          <w:szCs w:val="28"/>
          <w:shd w:val="clear" w:color="auto" w:fill="FFFFFF"/>
          <w:lang w:val="nb-NO"/>
        </w:rPr>
      </w:pPr>
      <w:r w:rsidRPr="004262EF">
        <w:rPr>
          <w:rFonts w:ascii="Helvetica" w:hAnsi="Helvetica"/>
          <w:color w:val="333333"/>
          <w:sz w:val="28"/>
          <w:szCs w:val="28"/>
          <w:shd w:val="clear" w:color="auto" w:fill="FFFFFF"/>
          <w:lang w:val="nb-NO"/>
        </w:rPr>
        <w:t xml:space="preserve">Dette er den aksepterte versjonen av en artikkel publisert </w:t>
      </w:r>
      <w:r>
        <w:rPr>
          <w:rFonts w:ascii="Helvetica" w:hAnsi="Helvetica"/>
          <w:color w:val="333333"/>
          <w:sz w:val="28"/>
          <w:szCs w:val="28"/>
          <w:shd w:val="clear" w:color="auto" w:fill="FFFFFF"/>
          <w:lang w:val="nb-NO"/>
        </w:rPr>
        <w:br/>
      </w:r>
      <w:r w:rsidRPr="004262EF">
        <w:rPr>
          <w:rFonts w:ascii="Helvetica" w:hAnsi="Helvetica"/>
          <w:color w:val="333333"/>
          <w:sz w:val="28"/>
          <w:szCs w:val="28"/>
          <w:shd w:val="clear" w:color="auto" w:fill="FFFFFF"/>
          <w:lang w:val="nb-NO"/>
        </w:rPr>
        <w:t xml:space="preserve">i </w:t>
      </w:r>
      <w:proofErr w:type="spellStart"/>
      <w:r w:rsidRPr="004262EF">
        <w:rPr>
          <w:rFonts w:ascii="Helvetica" w:hAnsi="Helvetica"/>
          <w:color w:val="333333"/>
          <w:sz w:val="28"/>
          <w:szCs w:val="28"/>
          <w:shd w:val="clear" w:color="auto" w:fill="FFFFFF"/>
          <w:lang w:val="nb-NO"/>
        </w:rPr>
        <w:t>Current</w:t>
      </w:r>
      <w:proofErr w:type="spellEnd"/>
      <w:r w:rsidRPr="004262EF">
        <w:rPr>
          <w:rFonts w:ascii="Helvetica" w:hAnsi="Helvetica"/>
          <w:color w:val="333333"/>
          <w:sz w:val="28"/>
          <w:szCs w:val="28"/>
          <w:shd w:val="clear" w:color="auto" w:fill="FFFFFF"/>
          <w:lang w:val="nb-NO"/>
        </w:rPr>
        <w:t xml:space="preserve"> </w:t>
      </w:r>
      <w:proofErr w:type="spellStart"/>
      <w:r w:rsidRPr="004262EF">
        <w:rPr>
          <w:rFonts w:ascii="Helvetica" w:hAnsi="Helvetica"/>
          <w:color w:val="333333"/>
          <w:sz w:val="28"/>
          <w:szCs w:val="28"/>
          <w:shd w:val="clear" w:color="auto" w:fill="FFFFFF"/>
          <w:lang w:val="nb-NO"/>
        </w:rPr>
        <w:t>Issues</w:t>
      </w:r>
      <w:proofErr w:type="spellEnd"/>
      <w:r w:rsidRPr="004262EF">
        <w:rPr>
          <w:rFonts w:ascii="Helvetica" w:hAnsi="Helvetica"/>
          <w:color w:val="333333"/>
          <w:sz w:val="28"/>
          <w:szCs w:val="28"/>
          <w:shd w:val="clear" w:color="auto" w:fill="FFFFFF"/>
          <w:lang w:val="nb-NO"/>
        </w:rPr>
        <w:t xml:space="preserve"> in </w:t>
      </w:r>
      <w:proofErr w:type="spellStart"/>
      <w:r w:rsidRPr="004262EF">
        <w:rPr>
          <w:rFonts w:ascii="Helvetica" w:hAnsi="Helvetica"/>
          <w:color w:val="333333"/>
          <w:sz w:val="28"/>
          <w:szCs w:val="28"/>
          <w:shd w:val="clear" w:color="auto" w:fill="FFFFFF"/>
          <w:lang w:val="nb-NO"/>
        </w:rPr>
        <w:t>Tourism</w:t>
      </w:r>
      <w:proofErr w:type="spellEnd"/>
      <w:r w:rsidRPr="004262EF">
        <w:rPr>
          <w:rFonts w:ascii="Helvetica" w:hAnsi="Helvetica"/>
          <w:color w:val="333333"/>
          <w:sz w:val="28"/>
          <w:szCs w:val="28"/>
          <w:shd w:val="clear" w:color="auto" w:fill="FFFFFF"/>
          <w:lang w:val="nb-NO"/>
        </w:rPr>
        <w:t>. Den blir tilgjengelig fra og med 28.0</w:t>
      </w:r>
      <w:r w:rsidRPr="004262EF">
        <w:rPr>
          <w:rFonts w:ascii="Helvetica" w:hAnsi="Helvetica"/>
          <w:color w:val="333333"/>
          <w:sz w:val="28"/>
          <w:szCs w:val="28"/>
          <w:shd w:val="clear" w:color="auto" w:fill="FFFFFF"/>
          <w:lang w:val="nb-NO"/>
        </w:rPr>
        <w:t>6</w:t>
      </w:r>
      <w:r w:rsidRPr="004262EF">
        <w:rPr>
          <w:rFonts w:ascii="Helvetica" w:hAnsi="Helvetica"/>
          <w:color w:val="333333"/>
          <w:sz w:val="28"/>
          <w:szCs w:val="28"/>
          <w:shd w:val="clear" w:color="auto" w:fill="FFFFFF"/>
          <w:lang w:val="nb-NO"/>
        </w:rPr>
        <w:t>.202</w:t>
      </w:r>
      <w:r w:rsidRPr="004262EF">
        <w:rPr>
          <w:rFonts w:ascii="Helvetica" w:hAnsi="Helvetica"/>
          <w:color w:val="333333"/>
          <w:sz w:val="28"/>
          <w:szCs w:val="28"/>
          <w:shd w:val="clear" w:color="auto" w:fill="FFFFFF"/>
          <w:lang w:val="nb-NO"/>
        </w:rPr>
        <w:t>5</w:t>
      </w:r>
      <w:r w:rsidRPr="004262EF">
        <w:rPr>
          <w:rFonts w:ascii="Helvetica" w:hAnsi="Helvetica"/>
          <w:color w:val="333333"/>
          <w:sz w:val="28"/>
          <w:szCs w:val="28"/>
          <w:shd w:val="clear" w:color="auto" w:fill="FFFFFF"/>
          <w:lang w:val="nb-NO"/>
        </w:rPr>
        <w:t xml:space="preserve"> etter en embargoperiode på 1</w:t>
      </w:r>
      <w:r w:rsidRPr="004262EF">
        <w:rPr>
          <w:rFonts w:ascii="Helvetica" w:hAnsi="Helvetica"/>
          <w:color w:val="333333"/>
          <w:sz w:val="28"/>
          <w:szCs w:val="28"/>
          <w:shd w:val="clear" w:color="auto" w:fill="FFFFFF"/>
          <w:lang w:val="nb-NO"/>
        </w:rPr>
        <w:t>8</w:t>
      </w:r>
      <w:r w:rsidRPr="004262EF">
        <w:rPr>
          <w:rFonts w:ascii="Helvetica" w:hAnsi="Helvetica"/>
          <w:color w:val="333333"/>
          <w:sz w:val="28"/>
          <w:szCs w:val="28"/>
          <w:shd w:val="clear" w:color="auto" w:fill="FFFFFF"/>
          <w:lang w:val="nb-NO"/>
        </w:rPr>
        <w:t xml:space="preserve"> måneder. </w:t>
      </w:r>
      <w:r>
        <w:rPr>
          <w:rFonts w:ascii="Helvetica" w:hAnsi="Helvetica"/>
          <w:color w:val="333333"/>
          <w:sz w:val="28"/>
          <w:szCs w:val="28"/>
          <w:shd w:val="clear" w:color="auto" w:fill="FFFFFF"/>
          <w:lang w:val="nb-NO"/>
        </w:rPr>
        <w:br/>
      </w:r>
      <w:r w:rsidRPr="004262EF">
        <w:rPr>
          <w:rFonts w:ascii="Helvetica" w:hAnsi="Helvetica"/>
          <w:color w:val="333333"/>
          <w:sz w:val="28"/>
          <w:szCs w:val="28"/>
          <w:shd w:val="clear" w:color="auto" w:fill="FFFFFF"/>
          <w:lang w:val="nb-NO"/>
        </w:rPr>
        <w:t>Du</w:t>
      </w:r>
      <w:r w:rsidRPr="004262EF">
        <w:rPr>
          <w:rFonts w:ascii="Helvetica" w:hAnsi="Helvetica"/>
          <w:color w:val="333333"/>
          <w:sz w:val="28"/>
          <w:szCs w:val="28"/>
          <w:shd w:val="clear" w:color="auto" w:fill="FFFFFF"/>
          <w:lang w:val="nb-NO"/>
        </w:rPr>
        <w:t xml:space="preserve"> </w:t>
      </w:r>
      <w:r w:rsidRPr="004262EF">
        <w:rPr>
          <w:rFonts w:ascii="Helvetica" w:hAnsi="Helvetica"/>
          <w:color w:val="333333"/>
          <w:sz w:val="28"/>
          <w:szCs w:val="28"/>
          <w:shd w:val="clear" w:color="auto" w:fill="FFFFFF"/>
          <w:lang w:val="nb-NO"/>
        </w:rPr>
        <w:t>finner den publiserte artikkelen her:</w:t>
      </w:r>
    </w:p>
    <w:p w14:paraId="6832CA20" w14:textId="56C5EECE" w:rsidR="004262EF" w:rsidRPr="004262EF" w:rsidRDefault="004262EF" w:rsidP="004262EF">
      <w:pPr>
        <w:spacing w:after="0" w:line="276" w:lineRule="auto"/>
        <w:ind w:left="720"/>
        <w:jc w:val="center"/>
        <w:rPr>
          <w:rFonts w:ascii="Helvetica" w:hAnsi="Helvetica"/>
          <w:color w:val="333333"/>
          <w:sz w:val="28"/>
          <w:szCs w:val="28"/>
          <w:shd w:val="clear" w:color="auto" w:fill="FFFFFF"/>
          <w:lang w:val="nb-NO"/>
        </w:rPr>
      </w:pPr>
      <w:hyperlink r:id="rId7" w:history="1">
        <w:r w:rsidRPr="004262EF">
          <w:rPr>
            <w:rStyle w:val="Hyperkobling"/>
            <w:rFonts w:ascii="Helvetica" w:hAnsi="Helvetica"/>
            <w:sz w:val="28"/>
            <w:szCs w:val="28"/>
            <w:shd w:val="clear" w:color="auto" w:fill="FFFFFF"/>
            <w:lang w:val="nb-NO"/>
          </w:rPr>
          <w:t>https://doi-org.ezproxy.inn.no/10.1080/13683500.2022.2157706</w:t>
        </w:r>
      </w:hyperlink>
    </w:p>
    <w:p w14:paraId="56AEC645" w14:textId="02672BD5" w:rsidR="004262EF" w:rsidRPr="004262EF" w:rsidRDefault="004262EF" w:rsidP="00187117">
      <w:pPr>
        <w:spacing w:after="0" w:line="276" w:lineRule="auto"/>
        <w:jc w:val="center"/>
        <w:rPr>
          <w:rFonts w:ascii="Times New Roman" w:hAnsi="Times New Roman" w:cs="Times New Roman"/>
          <w:b/>
          <w:sz w:val="28"/>
          <w:szCs w:val="28"/>
          <w:lang w:val="nb-NO"/>
        </w:rPr>
      </w:pPr>
    </w:p>
    <w:p w14:paraId="39174E6E" w14:textId="3F79E53F" w:rsidR="004262EF" w:rsidRPr="004262EF" w:rsidRDefault="004262EF" w:rsidP="00187117">
      <w:pPr>
        <w:spacing w:after="0" w:line="276" w:lineRule="auto"/>
        <w:jc w:val="center"/>
        <w:rPr>
          <w:rFonts w:ascii="Calibri" w:hAnsi="Calibri" w:cs="Calibri"/>
          <w:color w:val="000000"/>
          <w:sz w:val="28"/>
          <w:szCs w:val="28"/>
          <w:shd w:val="clear" w:color="auto" w:fill="FFFFFF"/>
        </w:rPr>
      </w:pPr>
      <w:r w:rsidRPr="004262EF">
        <w:rPr>
          <w:rFonts w:ascii="Calibri" w:hAnsi="Calibri" w:cs="Calibri"/>
          <w:color w:val="000000"/>
          <w:sz w:val="28"/>
          <w:szCs w:val="28"/>
          <w:shd w:val="clear" w:color="auto" w:fill="FFFFFF"/>
        </w:rPr>
        <w:t xml:space="preserve">This is the </w:t>
      </w:r>
      <w:proofErr w:type="spellStart"/>
      <w:r w:rsidRPr="004262EF">
        <w:rPr>
          <w:rFonts w:ascii="Calibri" w:hAnsi="Calibri" w:cs="Calibri"/>
          <w:color w:val="000000"/>
          <w:sz w:val="28"/>
          <w:szCs w:val="28"/>
          <w:shd w:val="clear" w:color="auto" w:fill="FFFFFF"/>
        </w:rPr>
        <w:t>postprint</w:t>
      </w:r>
      <w:proofErr w:type="spellEnd"/>
      <w:r w:rsidRPr="004262EF">
        <w:rPr>
          <w:rFonts w:ascii="Calibri" w:hAnsi="Calibri" w:cs="Calibri"/>
          <w:color w:val="000000"/>
          <w:sz w:val="28"/>
          <w:szCs w:val="28"/>
          <w:shd w:val="clear" w:color="auto" w:fill="FFFFFF"/>
        </w:rPr>
        <w:t xml:space="preserve"> version of the article published in Current Issues in Tourism. It will be available 28.0</w:t>
      </w:r>
      <w:r w:rsidRPr="004262EF">
        <w:rPr>
          <w:rFonts w:ascii="Calibri" w:hAnsi="Calibri" w:cs="Calibri"/>
          <w:color w:val="000000"/>
          <w:sz w:val="28"/>
          <w:szCs w:val="28"/>
          <w:shd w:val="clear" w:color="auto" w:fill="FFFFFF"/>
        </w:rPr>
        <w:t>6</w:t>
      </w:r>
      <w:r w:rsidRPr="004262EF">
        <w:rPr>
          <w:rFonts w:ascii="Calibri" w:hAnsi="Calibri" w:cs="Calibri"/>
          <w:color w:val="000000"/>
          <w:sz w:val="28"/>
          <w:szCs w:val="28"/>
          <w:shd w:val="clear" w:color="auto" w:fill="FFFFFF"/>
        </w:rPr>
        <w:t>.202</w:t>
      </w:r>
      <w:r w:rsidRPr="004262EF">
        <w:rPr>
          <w:rFonts w:ascii="Calibri" w:hAnsi="Calibri" w:cs="Calibri"/>
          <w:color w:val="000000"/>
          <w:sz w:val="28"/>
          <w:szCs w:val="28"/>
          <w:shd w:val="clear" w:color="auto" w:fill="FFFFFF"/>
        </w:rPr>
        <w:t>4</w:t>
      </w:r>
      <w:r w:rsidRPr="004262EF">
        <w:rPr>
          <w:rFonts w:ascii="Calibri" w:hAnsi="Calibri" w:cs="Calibri"/>
          <w:color w:val="000000"/>
          <w:sz w:val="28"/>
          <w:szCs w:val="28"/>
          <w:shd w:val="clear" w:color="auto" w:fill="FFFFFF"/>
        </w:rPr>
        <w:t xml:space="preserve"> after an embargo period of 1</w:t>
      </w:r>
      <w:r w:rsidRPr="004262EF">
        <w:rPr>
          <w:rFonts w:ascii="Calibri" w:hAnsi="Calibri" w:cs="Calibri"/>
          <w:color w:val="000000"/>
          <w:sz w:val="28"/>
          <w:szCs w:val="28"/>
          <w:shd w:val="clear" w:color="auto" w:fill="FFFFFF"/>
        </w:rPr>
        <w:t>8</w:t>
      </w:r>
      <w:r w:rsidRPr="004262EF">
        <w:rPr>
          <w:rFonts w:ascii="Calibri" w:hAnsi="Calibri" w:cs="Calibri"/>
          <w:color w:val="000000"/>
          <w:sz w:val="28"/>
          <w:szCs w:val="28"/>
          <w:shd w:val="clear" w:color="auto" w:fill="FFFFFF"/>
        </w:rPr>
        <w:t xml:space="preserve"> </w:t>
      </w:r>
      <w:proofErr w:type="spellStart"/>
      <w:proofErr w:type="gramStart"/>
      <w:r w:rsidRPr="004262EF">
        <w:rPr>
          <w:rFonts w:ascii="Calibri" w:hAnsi="Calibri" w:cs="Calibri"/>
          <w:color w:val="000000"/>
          <w:sz w:val="28"/>
          <w:szCs w:val="28"/>
          <w:shd w:val="clear" w:color="auto" w:fill="FFFFFF"/>
        </w:rPr>
        <w:t>months.You</w:t>
      </w:r>
      <w:proofErr w:type="spellEnd"/>
      <w:proofErr w:type="gramEnd"/>
      <w:r w:rsidRPr="004262EF">
        <w:rPr>
          <w:rFonts w:ascii="Calibri" w:hAnsi="Calibri" w:cs="Calibri"/>
          <w:color w:val="000000"/>
          <w:sz w:val="28"/>
          <w:szCs w:val="28"/>
          <w:shd w:val="clear" w:color="auto" w:fill="FFFFFF"/>
        </w:rPr>
        <w:t xml:space="preserve"> can find the published article here:</w:t>
      </w:r>
    </w:p>
    <w:p w14:paraId="3F1F32D4" w14:textId="77777777" w:rsidR="004262EF" w:rsidRPr="004262EF" w:rsidRDefault="004262EF" w:rsidP="004262EF">
      <w:pPr>
        <w:spacing w:after="0" w:line="276" w:lineRule="auto"/>
        <w:ind w:left="720"/>
        <w:jc w:val="center"/>
        <w:rPr>
          <w:rFonts w:ascii="Helvetica" w:hAnsi="Helvetica"/>
          <w:color w:val="333333"/>
          <w:sz w:val="28"/>
          <w:szCs w:val="28"/>
          <w:shd w:val="clear" w:color="auto" w:fill="FFFFFF"/>
        </w:rPr>
      </w:pPr>
      <w:hyperlink r:id="rId8" w:history="1">
        <w:r w:rsidRPr="004262EF">
          <w:rPr>
            <w:rStyle w:val="Hyperkobling"/>
            <w:rFonts w:ascii="Helvetica" w:hAnsi="Helvetica"/>
            <w:sz w:val="28"/>
            <w:szCs w:val="28"/>
            <w:shd w:val="clear" w:color="auto" w:fill="FFFFFF"/>
          </w:rPr>
          <w:t>https://doi-org.ezproxy.inn.no/10.1080/13683500.2022.2157706</w:t>
        </w:r>
      </w:hyperlink>
    </w:p>
    <w:p w14:paraId="6891DEDA" w14:textId="77777777" w:rsidR="004262EF" w:rsidRPr="004262EF" w:rsidRDefault="004262EF" w:rsidP="00187117">
      <w:pPr>
        <w:spacing w:after="0" w:line="276" w:lineRule="auto"/>
        <w:jc w:val="center"/>
        <w:rPr>
          <w:rFonts w:ascii="Times New Roman" w:hAnsi="Times New Roman" w:cs="Times New Roman"/>
          <w:b/>
          <w:sz w:val="28"/>
          <w:szCs w:val="28"/>
        </w:rPr>
      </w:pPr>
    </w:p>
    <w:p w14:paraId="0A565D82" w14:textId="77777777" w:rsidR="004262EF" w:rsidRPr="004262EF" w:rsidRDefault="004262EF" w:rsidP="00187117">
      <w:pPr>
        <w:spacing w:after="0" w:line="276" w:lineRule="auto"/>
        <w:jc w:val="center"/>
        <w:rPr>
          <w:rFonts w:ascii="Times New Roman" w:hAnsi="Times New Roman" w:cs="Times New Roman"/>
          <w:b/>
          <w:sz w:val="28"/>
          <w:szCs w:val="28"/>
        </w:rPr>
      </w:pPr>
    </w:p>
    <w:p w14:paraId="01FBF0DB" w14:textId="77777777" w:rsidR="004262EF" w:rsidRDefault="004262EF" w:rsidP="00187117">
      <w:pPr>
        <w:spacing w:after="0" w:line="276" w:lineRule="auto"/>
        <w:jc w:val="center"/>
        <w:rPr>
          <w:rFonts w:ascii="Times New Roman" w:hAnsi="Times New Roman" w:cs="Times New Roman"/>
          <w:b/>
          <w:sz w:val="28"/>
          <w:szCs w:val="28"/>
        </w:rPr>
      </w:pPr>
    </w:p>
    <w:p w14:paraId="28A17F47" w14:textId="77777777" w:rsidR="004262EF" w:rsidRDefault="004262EF" w:rsidP="00187117">
      <w:pPr>
        <w:spacing w:after="0" w:line="276" w:lineRule="auto"/>
        <w:jc w:val="center"/>
        <w:rPr>
          <w:rFonts w:ascii="Times New Roman" w:hAnsi="Times New Roman" w:cs="Times New Roman"/>
          <w:b/>
          <w:sz w:val="28"/>
          <w:szCs w:val="28"/>
        </w:rPr>
      </w:pPr>
    </w:p>
    <w:p w14:paraId="4CE8D0C8" w14:textId="77777777" w:rsidR="004262EF" w:rsidRDefault="004262EF" w:rsidP="00187117">
      <w:pPr>
        <w:spacing w:after="0" w:line="276" w:lineRule="auto"/>
        <w:jc w:val="center"/>
        <w:rPr>
          <w:rFonts w:ascii="Times New Roman" w:hAnsi="Times New Roman" w:cs="Times New Roman"/>
          <w:b/>
          <w:sz w:val="28"/>
          <w:szCs w:val="28"/>
        </w:rPr>
      </w:pPr>
    </w:p>
    <w:p w14:paraId="4794A690" w14:textId="77777777" w:rsidR="004262EF" w:rsidRDefault="004262EF" w:rsidP="00187117">
      <w:pPr>
        <w:spacing w:after="0" w:line="276" w:lineRule="auto"/>
        <w:jc w:val="center"/>
        <w:rPr>
          <w:rFonts w:ascii="Times New Roman" w:hAnsi="Times New Roman" w:cs="Times New Roman"/>
          <w:b/>
          <w:sz w:val="28"/>
          <w:szCs w:val="28"/>
        </w:rPr>
      </w:pPr>
    </w:p>
    <w:p w14:paraId="5CABF2AE" w14:textId="77777777" w:rsidR="004262EF" w:rsidRDefault="004262EF" w:rsidP="00187117">
      <w:pPr>
        <w:spacing w:after="0" w:line="276" w:lineRule="auto"/>
        <w:jc w:val="center"/>
        <w:rPr>
          <w:rFonts w:ascii="Times New Roman" w:hAnsi="Times New Roman" w:cs="Times New Roman"/>
          <w:b/>
          <w:sz w:val="28"/>
          <w:szCs w:val="28"/>
        </w:rPr>
      </w:pPr>
    </w:p>
    <w:p w14:paraId="01B88326" w14:textId="77777777" w:rsidR="004262EF" w:rsidRDefault="004262EF" w:rsidP="00187117">
      <w:pPr>
        <w:spacing w:after="0" w:line="276" w:lineRule="auto"/>
        <w:jc w:val="center"/>
        <w:rPr>
          <w:rFonts w:ascii="Times New Roman" w:hAnsi="Times New Roman" w:cs="Times New Roman"/>
          <w:b/>
          <w:sz w:val="28"/>
          <w:szCs w:val="28"/>
        </w:rPr>
      </w:pPr>
    </w:p>
    <w:p w14:paraId="7BF280F9" w14:textId="77777777" w:rsidR="004262EF" w:rsidRDefault="004262EF" w:rsidP="00187117">
      <w:pPr>
        <w:spacing w:after="0" w:line="276" w:lineRule="auto"/>
        <w:jc w:val="center"/>
        <w:rPr>
          <w:rFonts w:ascii="Times New Roman" w:hAnsi="Times New Roman" w:cs="Times New Roman"/>
          <w:b/>
          <w:sz w:val="28"/>
          <w:szCs w:val="28"/>
        </w:rPr>
      </w:pPr>
    </w:p>
    <w:p w14:paraId="4D987C20" w14:textId="77777777" w:rsidR="004262EF" w:rsidRDefault="004262EF" w:rsidP="00187117">
      <w:pPr>
        <w:spacing w:after="0" w:line="276" w:lineRule="auto"/>
        <w:jc w:val="center"/>
        <w:rPr>
          <w:rFonts w:ascii="Times New Roman" w:hAnsi="Times New Roman" w:cs="Times New Roman"/>
          <w:b/>
          <w:sz w:val="28"/>
          <w:szCs w:val="28"/>
        </w:rPr>
      </w:pPr>
    </w:p>
    <w:p w14:paraId="131FD5D8" w14:textId="77777777" w:rsidR="004262EF" w:rsidRDefault="004262EF" w:rsidP="00187117">
      <w:pPr>
        <w:spacing w:after="0" w:line="276" w:lineRule="auto"/>
        <w:jc w:val="center"/>
        <w:rPr>
          <w:rFonts w:ascii="Times New Roman" w:hAnsi="Times New Roman" w:cs="Times New Roman"/>
          <w:b/>
          <w:sz w:val="28"/>
          <w:szCs w:val="28"/>
        </w:rPr>
      </w:pPr>
    </w:p>
    <w:p w14:paraId="1DCAD7C2" w14:textId="77777777" w:rsidR="004262EF" w:rsidRDefault="004262EF" w:rsidP="00187117">
      <w:pPr>
        <w:spacing w:after="0" w:line="276" w:lineRule="auto"/>
        <w:jc w:val="center"/>
        <w:rPr>
          <w:rFonts w:ascii="Times New Roman" w:hAnsi="Times New Roman" w:cs="Times New Roman"/>
          <w:b/>
          <w:sz w:val="28"/>
          <w:szCs w:val="28"/>
        </w:rPr>
      </w:pPr>
    </w:p>
    <w:p w14:paraId="3A0A08C8" w14:textId="77777777" w:rsidR="004262EF" w:rsidRDefault="004262EF" w:rsidP="00187117">
      <w:pPr>
        <w:spacing w:after="0" w:line="276" w:lineRule="auto"/>
        <w:jc w:val="center"/>
        <w:rPr>
          <w:rFonts w:ascii="Times New Roman" w:hAnsi="Times New Roman" w:cs="Times New Roman"/>
          <w:b/>
          <w:sz w:val="28"/>
          <w:szCs w:val="28"/>
        </w:rPr>
      </w:pPr>
    </w:p>
    <w:p w14:paraId="42F3963A" w14:textId="77777777" w:rsidR="004262EF" w:rsidRDefault="004262EF" w:rsidP="00187117">
      <w:pPr>
        <w:spacing w:after="0" w:line="276" w:lineRule="auto"/>
        <w:jc w:val="center"/>
        <w:rPr>
          <w:rFonts w:ascii="Times New Roman" w:hAnsi="Times New Roman" w:cs="Times New Roman"/>
          <w:b/>
          <w:sz w:val="28"/>
          <w:szCs w:val="28"/>
        </w:rPr>
      </w:pPr>
    </w:p>
    <w:p w14:paraId="76C55592" w14:textId="77777777" w:rsidR="004262EF" w:rsidRDefault="004262EF" w:rsidP="00187117">
      <w:pPr>
        <w:spacing w:after="0" w:line="276" w:lineRule="auto"/>
        <w:jc w:val="center"/>
        <w:rPr>
          <w:rFonts w:ascii="Times New Roman" w:hAnsi="Times New Roman" w:cs="Times New Roman"/>
          <w:b/>
          <w:sz w:val="28"/>
          <w:szCs w:val="28"/>
        </w:rPr>
      </w:pPr>
    </w:p>
    <w:p w14:paraId="7E5D2756" w14:textId="77777777" w:rsidR="004262EF" w:rsidRDefault="004262EF" w:rsidP="00187117">
      <w:pPr>
        <w:spacing w:after="0" w:line="276" w:lineRule="auto"/>
        <w:jc w:val="center"/>
        <w:rPr>
          <w:rFonts w:ascii="Times New Roman" w:hAnsi="Times New Roman" w:cs="Times New Roman"/>
          <w:b/>
          <w:sz w:val="28"/>
          <w:szCs w:val="28"/>
        </w:rPr>
      </w:pPr>
    </w:p>
    <w:p w14:paraId="63288616" w14:textId="77777777" w:rsidR="004262EF" w:rsidRDefault="004262EF" w:rsidP="00187117">
      <w:pPr>
        <w:spacing w:after="0" w:line="276" w:lineRule="auto"/>
        <w:jc w:val="center"/>
        <w:rPr>
          <w:rFonts w:ascii="Times New Roman" w:hAnsi="Times New Roman" w:cs="Times New Roman"/>
          <w:b/>
          <w:sz w:val="28"/>
          <w:szCs w:val="28"/>
        </w:rPr>
      </w:pPr>
    </w:p>
    <w:p w14:paraId="15FC7BE8" w14:textId="77777777" w:rsidR="004262EF" w:rsidRDefault="004262EF" w:rsidP="00187117">
      <w:pPr>
        <w:spacing w:after="0" w:line="276" w:lineRule="auto"/>
        <w:jc w:val="center"/>
        <w:rPr>
          <w:rFonts w:ascii="Times New Roman" w:hAnsi="Times New Roman" w:cs="Times New Roman"/>
          <w:b/>
          <w:sz w:val="28"/>
          <w:szCs w:val="28"/>
        </w:rPr>
      </w:pPr>
    </w:p>
    <w:p w14:paraId="77628388" w14:textId="77777777" w:rsidR="004262EF" w:rsidRDefault="004262EF" w:rsidP="00187117">
      <w:pPr>
        <w:spacing w:after="0" w:line="276" w:lineRule="auto"/>
        <w:jc w:val="center"/>
        <w:rPr>
          <w:rFonts w:ascii="Times New Roman" w:hAnsi="Times New Roman" w:cs="Times New Roman"/>
          <w:b/>
          <w:sz w:val="28"/>
          <w:szCs w:val="28"/>
        </w:rPr>
      </w:pPr>
    </w:p>
    <w:p w14:paraId="1DDCF474" w14:textId="77777777" w:rsidR="004262EF" w:rsidRDefault="004262EF" w:rsidP="00187117">
      <w:pPr>
        <w:spacing w:after="0" w:line="276" w:lineRule="auto"/>
        <w:jc w:val="center"/>
        <w:rPr>
          <w:rFonts w:ascii="Times New Roman" w:hAnsi="Times New Roman" w:cs="Times New Roman"/>
          <w:b/>
          <w:sz w:val="28"/>
          <w:szCs w:val="28"/>
        </w:rPr>
      </w:pPr>
    </w:p>
    <w:p w14:paraId="0E64AAD2" w14:textId="77777777" w:rsidR="004262EF" w:rsidRDefault="004262EF" w:rsidP="00187117">
      <w:pPr>
        <w:spacing w:after="0" w:line="276" w:lineRule="auto"/>
        <w:jc w:val="center"/>
        <w:rPr>
          <w:rFonts w:ascii="Times New Roman" w:hAnsi="Times New Roman" w:cs="Times New Roman"/>
          <w:b/>
          <w:sz w:val="28"/>
          <w:szCs w:val="28"/>
        </w:rPr>
      </w:pPr>
    </w:p>
    <w:p w14:paraId="7B883C5E" w14:textId="77777777" w:rsidR="004262EF" w:rsidRDefault="004262EF" w:rsidP="00187117">
      <w:pPr>
        <w:spacing w:after="0" w:line="276" w:lineRule="auto"/>
        <w:jc w:val="center"/>
        <w:rPr>
          <w:rFonts w:ascii="Times New Roman" w:hAnsi="Times New Roman" w:cs="Times New Roman"/>
          <w:b/>
          <w:sz w:val="28"/>
          <w:szCs w:val="28"/>
        </w:rPr>
      </w:pPr>
    </w:p>
    <w:p w14:paraId="4BBB3395" w14:textId="77777777" w:rsidR="004262EF" w:rsidRDefault="004262EF" w:rsidP="00187117">
      <w:pPr>
        <w:spacing w:after="0" w:line="276" w:lineRule="auto"/>
        <w:jc w:val="center"/>
        <w:rPr>
          <w:rFonts w:ascii="Times New Roman" w:hAnsi="Times New Roman" w:cs="Times New Roman"/>
          <w:b/>
          <w:sz w:val="28"/>
          <w:szCs w:val="28"/>
        </w:rPr>
      </w:pPr>
    </w:p>
    <w:p w14:paraId="67FE779E" w14:textId="77777777" w:rsidR="004262EF" w:rsidRDefault="004262EF" w:rsidP="00187117">
      <w:pPr>
        <w:spacing w:after="0" w:line="276" w:lineRule="auto"/>
        <w:jc w:val="center"/>
        <w:rPr>
          <w:rFonts w:ascii="Times New Roman" w:hAnsi="Times New Roman" w:cs="Times New Roman"/>
          <w:b/>
          <w:sz w:val="28"/>
          <w:szCs w:val="28"/>
        </w:rPr>
      </w:pPr>
    </w:p>
    <w:p w14:paraId="462DD013" w14:textId="77777777" w:rsidR="004262EF" w:rsidRPr="004262EF" w:rsidRDefault="004262EF" w:rsidP="00187117">
      <w:pPr>
        <w:spacing w:after="0" w:line="276" w:lineRule="auto"/>
        <w:jc w:val="center"/>
        <w:rPr>
          <w:rFonts w:ascii="Times New Roman" w:hAnsi="Times New Roman" w:cs="Times New Roman"/>
          <w:b/>
          <w:sz w:val="28"/>
          <w:szCs w:val="28"/>
        </w:rPr>
      </w:pPr>
    </w:p>
    <w:p w14:paraId="5D77135F" w14:textId="77777777" w:rsidR="004262EF" w:rsidRPr="004262EF" w:rsidRDefault="004262EF" w:rsidP="00187117">
      <w:pPr>
        <w:spacing w:after="0" w:line="276" w:lineRule="auto"/>
        <w:jc w:val="center"/>
        <w:rPr>
          <w:rFonts w:ascii="Times New Roman" w:hAnsi="Times New Roman" w:cs="Times New Roman"/>
          <w:b/>
          <w:sz w:val="28"/>
          <w:szCs w:val="28"/>
        </w:rPr>
      </w:pPr>
    </w:p>
    <w:p w14:paraId="6C190792" w14:textId="77777777" w:rsidR="004262EF" w:rsidRPr="004262EF" w:rsidRDefault="004262EF" w:rsidP="00187117">
      <w:pPr>
        <w:spacing w:after="0" w:line="276" w:lineRule="auto"/>
        <w:jc w:val="center"/>
        <w:rPr>
          <w:rFonts w:ascii="Times New Roman" w:hAnsi="Times New Roman" w:cs="Times New Roman"/>
          <w:b/>
          <w:sz w:val="28"/>
          <w:szCs w:val="28"/>
        </w:rPr>
      </w:pPr>
    </w:p>
    <w:p w14:paraId="5B6BF4D2" w14:textId="526AF3D5" w:rsidR="00187117" w:rsidRDefault="00927A14" w:rsidP="00187117">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How do environmental taxes influence the impact of tourism on environmental performance? Evidence from</w:t>
      </w:r>
      <w:r w:rsidR="00DF7D72" w:rsidRPr="00A419EE">
        <w:rPr>
          <w:rFonts w:ascii="Times New Roman" w:hAnsi="Times New Roman" w:cs="Times New Roman"/>
          <w:b/>
          <w:sz w:val="28"/>
          <w:szCs w:val="28"/>
        </w:rPr>
        <w:t xml:space="preserve"> EU-28 countries</w:t>
      </w:r>
    </w:p>
    <w:p w14:paraId="579BFF91" w14:textId="77777777" w:rsidR="006E162B" w:rsidRDefault="006E162B" w:rsidP="00187117">
      <w:pPr>
        <w:spacing w:after="0" w:line="276" w:lineRule="auto"/>
        <w:jc w:val="center"/>
        <w:rPr>
          <w:rFonts w:ascii="Times New Roman" w:hAnsi="Times New Roman" w:cs="Times New Roman"/>
          <w:b/>
          <w:sz w:val="28"/>
          <w:szCs w:val="28"/>
        </w:rPr>
      </w:pPr>
    </w:p>
    <w:p w14:paraId="16A8515E" w14:textId="77777777" w:rsidR="00932ED8" w:rsidRDefault="00932ED8" w:rsidP="00BE06F5">
      <w:pPr>
        <w:spacing w:after="0" w:line="240" w:lineRule="auto"/>
        <w:jc w:val="center"/>
        <w:rPr>
          <w:rFonts w:ascii="Times New Roman" w:hAnsi="Times New Roman" w:cs="Times New Roman"/>
          <w:b/>
          <w:color w:val="000000" w:themeColor="text1"/>
          <w:sz w:val="24"/>
          <w:szCs w:val="24"/>
          <w:lang w:val="en-US"/>
        </w:rPr>
      </w:pPr>
    </w:p>
    <w:p w14:paraId="52464802" w14:textId="77777777" w:rsidR="00170CC9" w:rsidRDefault="00170CC9" w:rsidP="00BE06F5">
      <w:pPr>
        <w:spacing w:after="0" w:line="240" w:lineRule="auto"/>
        <w:jc w:val="center"/>
        <w:rPr>
          <w:rFonts w:ascii="Times New Roman" w:hAnsi="Times New Roman" w:cs="Times New Roman"/>
          <w:b/>
          <w:color w:val="000000" w:themeColor="text1"/>
          <w:sz w:val="24"/>
          <w:szCs w:val="24"/>
          <w:lang w:val="en-US"/>
        </w:rPr>
      </w:pPr>
    </w:p>
    <w:p w14:paraId="6D454BCA" w14:textId="77777777" w:rsidR="00170CC9" w:rsidRDefault="00170CC9" w:rsidP="00BE06F5">
      <w:pPr>
        <w:spacing w:after="0" w:line="240" w:lineRule="auto"/>
        <w:jc w:val="center"/>
        <w:rPr>
          <w:rFonts w:ascii="Times New Roman" w:hAnsi="Times New Roman" w:cs="Times New Roman"/>
          <w:b/>
          <w:sz w:val="24"/>
          <w:szCs w:val="24"/>
        </w:rPr>
      </w:pPr>
    </w:p>
    <w:p w14:paraId="4F41FBD7" w14:textId="1CF78FEE" w:rsidR="00E32F7B" w:rsidRPr="00A160DC" w:rsidRDefault="00DF7D72" w:rsidP="00A160DC">
      <w:pPr>
        <w:spacing w:after="0" w:line="240" w:lineRule="auto"/>
        <w:rPr>
          <w:rFonts w:ascii="Times New Roman" w:hAnsi="Times New Roman" w:cs="Times New Roman"/>
          <w:b/>
          <w:sz w:val="28"/>
          <w:szCs w:val="28"/>
        </w:rPr>
      </w:pPr>
      <w:r w:rsidRPr="0082196F">
        <w:rPr>
          <w:rFonts w:ascii="Times New Roman" w:hAnsi="Times New Roman" w:cs="Times New Roman"/>
          <w:b/>
          <w:sz w:val="28"/>
          <w:szCs w:val="28"/>
        </w:rPr>
        <w:t>Abstract</w:t>
      </w:r>
    </w:p>
    <w:p w14:paraId="642D1350" w14:textId="0C3AB291" w:rsidR="008737A2" w:rsidRDefault="00DF7D72" w:rsidP="00157224">
      <w:pPr>
        <w:autoSpaceDE w:val="0"/>
        <w:autoSpaceDN w:val="0"/>
        <w:adjustRightInd w:val="0"/>
        <w:spacing w:after="0" w:line="240" w:lineRule="auto"/>
        <w:jc w:val="both"/>
        <w:rPr>
          <w:rFonts w:ascii="Times New Roman" w:hAnsi="Times New Roman" w:cs="Times New Roman"/>
          <w:sz w:val="24"/>
          <w:szCs w:val="24"/>
        </w:rPr>
      </w:pPr>
      <w:r w:rsidRPr="00F21EE1">
        <w:rPr>
          <w:rFonts w:ascii="Times New Roman" w:eastAsia="STIX-Regular" w:hAnsi="Times New Roman" w:cs="Times New Roman"/>
          <w:sz w:val="24"/>
          <w:szCs w:val="24"/>
        </w:rPr>
        <w:t xml:space="preserve">Evidence of </w:t>
      </w:r>
      <w:r w:rsidR="002354E2" w:rsidRPr="00F21EE1">
        <w:rPr>
          <w:rFonts w:ascii="Times New Roman" w:eastAsia="STIX-Regular" w:hAnsi="Times New Roman" w:cs="Times New Roman"/>
          <w:sz w:val="24"/>
          <w:szCs w:val="24"/>
        </w:rPr>
        <w:t xml:space="preserve">the </w:t>
      </w:r>
      <w:r w:rsidRPr="00F21EE1">
        <w:rPr>
          <w:rFonts w:ascii="Times New Roman" w:eastAsia="STIX-Regular" w:hAnsi="Times New Roman" w:cs="Times New Roman"/>
          <w:sz w:val="24"/>
          <w:szCs w:val="24"/>
        </w:rPr>
        <w:t xml:space="preserve">accumulation of </w:t>
      </w:r>
      <w:r w:rsidR="002354E2" w:rsidRPr="00F21EE1">
        <w:rPr>
          <w:rFonts w:ascii="Times New Roman" w:eastAsia="STIX-Regular" w:hAnsi="Times New Roman" w:cs="Times New Roman"/>
          <w:sz w:val="24"/>
          <w:szCs w:val="24"/>
        </w:rPr>
        <w:t>carbon dioxide (CO</w:t>
      </w:r>
      <w:r w:rsidR="002354E2" w:rsidRPr="00F21EE1">
        <w:rPr>
          <w:rFonts w:ascii="Times New Roman" w:eastAsia="STIX-Regular" w:hAnsi="Times New Roman" w:cs="Times New Roman"/>
          <w:sz w:val="24"/>
          <w:szCs w:val="24"/>
          <w:vertAlign w:val="subscript"/>
        </w:rPr>
        <w:t>2</w:t>
      </w:r>
      <w:r w:rsidR="002354E2" w:rsidRPr="00F21EE1">
        <w:rPr>
          <w:rFonts w:ascii="Times New Roman" w:eastAsia="STIX-Regular" w:hAnsi="Times New Roman" w:cs="Times New Roman"/>
          <w:sz w:val="24"/>
          <w:szCs w:val="24"/>
        </w:rPr>
        <w:t xml:space="preserve">) </w:t>
      </w:r>
      <w:r w:rsidR="00024B19" w:rsidRPr="00F21EE1">
        <w:rPr>
          <w:rFonts w:ascii="Times New Roman" w:eastAsia="STIX-Regular" w:hAnsi="Times New Roman" w:cs="Times New Roman"/>
          <w:sz w:val="24"/>
          <w:szCs w:val="24"/>
        </w:rPr>
        <w:t>over the years is placing greater emph</w:t>
      </w:r>
      <w:r w:rsidR="00F21EE1" w:rsidRPr="00F21EE1">
        <w:rPr>
          <w:rFonts w:ascii="Times New Roman" w:eastAsia="STIX-Regular" w:hAnsi="Times New Roman" w:cs="Times New Roman"/>
          <w:sz w:val="24"/>
          <w:szCs w:val="24"/>
        </w:rPr>
        <w:t>asis on the use of</w:t>
      </w:r>
      <w:r w:rsidR="00024B19" w:rsidRPr="00F21EE1">
        <w:rPr>
          <w:rFonts w:ascii="Times New Roman" w:eastAsia="STIX-Regular" w:hAnsi="Times New Roman" w:cs="Times New Roman"/>
          <w:sz w:val="24"/>
          <w:szCs w:val="24"/>
        </w:rPr>
        <w:t xml:space="preserve"> taxes to achieve a sustainable environment. This study</w:t>
      </w:r>
      <w:r w:rsidR="00F21EE1" w:rsidRPr="00F21EE1">
        <w:rPr>
          <w:rFonts w:ascii="Times New Roman" w:eastAsia="STIX-Regular" w:hAnsi="Times New Roman" w:cs="Times New Roman"/>
          <w:sz w:val="24"/>
          <w:szCs w:val="24"/>
        </w:rPr>
        <w:t xml:space="preserve"> evaluates the effectiveness of environmental taxes in mitiga</w:t>
      </w:r>
      <w:r w:rsidR="001C2111">
        <w:rPr>
          <w:rFonts w:ascii="Times New Roman" w:eastAsia="STIX-Regular" w:hAnsi="Times New Roman" w:cs="Times New Roman"/>
          <w:sz w:val="24"/>
          <w:szCs w:val="24"/>
        </w:rPr>
        <w:t>ting the effect of international tourism receipts on environmental performance</w:t>
      </w:r>
      <w:r w:rsidR="00F21EE1" w:rsidRPr="00F21EE1">
        <w:rPr>
          <w:rFonts w:ascii="Times New Roman" w:eastAsia="STIX-Regular" w:hAnsi="Times New Roman" w:cs="Times New Roman"/>
          <w:sz w:val="24"/>
          <w:szCs w:val="24"/>
        </w:rPr>
        <w:t xml:space="preserve"> in EU-28 countries</w:t>
      </w:r>
      <w:r w:rsidR="00F21EE1">
        <w:rPr>
          <w:rFonts w:ascii="Times New Roman" w:eastAsia="STIX-Regular" w:hAnsi="Times New Roman" w:cs="Times New Roman"/>
          <w:sz w:val="24"/>
          <w:szCs w:val="24"/>
        </w:rPr>
        <w:t xml:space="preserve"> for the period 2002 to 2019. The empirical results suggest evidence of</w:t>
      </w:r>
      <w:r w:rsidR="001C2111">
        <w:rPr>
          <w:rFonts w:ascii="Times New Roman" w:eastAsia="STIX-Regular" w:hAnsi="Times New Roman" w:cs="Times New Roman"/>
          <w:sz w:val="24"/>
          <w:szCs w:val="24"/>
        </w:rPr>
        <w:t xml:space="preserve"> a single threshold effect. The results further show that the effect of international tourism receipts on environmental performance is negative once environmental taxes are below the threshold level of 5.48. However, once environmental taxes cross a threshold level, international tourism receipts would improve environmental performance. This suggests a</w:t>
      </w:r>
      <w:r w:rsidR="00157224">
        <w:rPr>
          <w:rFonts w:ascii="Times New Roman" w:eastAsia="STIX-Regular" w:hAnsi="Times New Roman" w:cs="Times New Roman"/>
          <w:sz w:val="24"/>
          <w:szCs w:val="24"/>
        </w:rPr>
        <w:t xml:space="preserve"> significant difference</w:t>
      </w:r>
      <w:r w:rsidR="001C2111">
        <w:rPr>
          <w:rFonts w:ascii="Times New Roman" w:eastAsia="STIX-Regular" w:hAnsi="Times New Roman" w:cs="Times New Roman"/>
          <w:sz w:val="24"/>
          <w:szCs w:val="24"/>
        </w:rPr>
        <w:t xml:space="preserve"> in the </w:t>
      </w:r>
      <w:r w:rsidR="00157224">
        <w:rPr>
          <w:rFonts w:ascii="Times New Roman" w:eastAsia="STIX-Regular" w:hAnsi="Times New Roman" w:cs="Times New Roman"/>
          <w:sz w:val="24"/>
          <w:szCs w:val="24"/>
        </w:rPr>
        <w:t>way international tourism receipts influence environmental performance during periods of low and high environmental taxes. These findings, the</w:t>
      </w:r>
      <w:r w:rsidR="00457ADD">
        <w:rPr>
          <w:rFonts w:ascii="Times New Roman" w:eastAsia="STIX-Regular" w:hAnsi="Times New Roman" w:cs="Times New Roman"/>
          <w:sz w:val="24"/>
          <w:szCs w:val="24"/>
        </w:rPr>
        <w:t xml:space="preserve">refore, provide insights to </w:t>
      </w:r>
      <w:r w:rsidR="00157224">
        <w:rPr>
          <w:rFonts w:ascii="Times New Roman" w:eastAsia="STIX-Regular" w:hAnsi="Times New Roman" w:cs="Times New Roman"/>
          <w:sz w:val="24"/>
          <w:szCs w:val="24"/>
        </w:rPr>
        <w:t>policy</w:t>
      </w:r>
      <w:r w:rsidR="00457ADD">
        <w:rPr>
          <w:rFonts w:ascii="Times New Roman" w:eastAsia="STIX-Regular" w:hAnsi="Times New Roman" w:cs="Times New Roman"/>
          <w:sz w:val="24"/>
          <w:szCs w:val="24"/>
        </w:rPr>
        <w:t>makers and other stakeholders on the</w:t>
      </w:r>
      <w:r w:rsidR="00157224">
        <w:rPr>
          <w:rFonts w:ascii="Times New Roman" w:eastAsia="STIX-Regular" w:hAnsi="Times New Roman" w:cs="Times New Roman"/>
          <w:sz w:val="24"/>
          <w:szCs w:val="24"/>
        </w:rPr>
        <w:t xml:space="preserve"> use</w:t>
      </w:r>
      <w:r w:rsidR="007F06ED">
        <w:rPr>
          <w:rFonts w:ascii="Times New Roman" w:eastAsia="STIX-Regular" w:hAnsi="Times New Roman" w:cs="Times New Roman"/>
          <w:sz w:val="24"/>
          <w:szCs w:val="24"/>
        </w:rPr>
        <w:t xml:space="preserve"> of</w:t>
      </w:r>
      <w:r w:rsidR="00157224">
        <w:rPr>
          <w:rFonts w:ascii="Times New Roman" w:eastAsia="STIX-Regular" w:hAnsi="Times New Roman" w:cs="Times New Roman"/>
          <w:sz w:val="24"/>
          <w:szCs w:val="24"/>
        </w:rPr>
        <w:t xml:space="preserve"> </w:t>
      </w:r>
      <w:r w:rsidR="00157224">
        <w:rPr>
          <w:rFonts w:ascii="Times New Roman" w:hAnsi="Times New Roman" w:cs="Times New Roman"/>
          <w:sz w:val="24"/>
          <w:szCs w:val="24"/>
        </w:rPr>
        <w:t>environmental taxes as</w:t>
      </w:r>
      <w:r w:rsidR="00157224" w:rsidRPr="00E62C30">
        <w:rPr>
          <w:rFonts w:ascii="Times New Roman" w:hAnsi="Times New Roman" w:cs="Times New Roman"/>
          <w:sz w:val="24"/>
          <w:szCs w:val="24"/>
        </w:rPr>
        <w:t xml:space="preserve"> an instrument</w:t>
      </w:r>
      <w:r w:rsidR="00457ADD">
        <w:rPr>
          <w:rFonts w:ascii="Times New Roman" w:hAnsi="Times New Roman" w:cs="Times New Roman"/>
          <w:sz w:val="24"/>
          <w:szCs w:val="24"/>
        </w:rPr>
        <w:t xml:space="preserve"> to avert global </w:t>
      </w:r>
      <w:r w:rsidR="00157224">
        <w:rPr>
          <w:rFonts w:ascii="Times New Roman" w:hAnsi="Times New Roman" w:cs="Times New Roman"/>
          <w:sz w:val="24"/>
          <w:szCs w:val="24"/>
        </w:rPr>
        <w:t>warming and other significant climate changes from energy-related pollution.</w:t>
      </w:r>
    </w:p>
    <w:p w14:paraId="304AD1E9" w14:textId="77777777" w:rsidR="008737A2" w:rsidRPr="00443BC5" w:rsidRDefault="008737A2" w:rsidP="008737A2">
      <w:pPr>
        <w:spacing w:line="240" w:lineRule="auto"/>
        <w:ind w:left="1276" w:hanging="1276"/>
        <w:jc w:val="both"/>
        <w:rPr>
          <w:rFonts w:ascii="Times New Roman" w:hAnsi="Times New Roman" w:cs="Times New Roman"/>
          <w:color w:val="000000" w:themeColor="text1"/>
          <w:sz w:val="24"/>
          <w:szCs w:val="24"/>
        </w:rPr>
      </w:pPr>
      <w:r w:rsidRPr="008855DF">
        <w:rPr>
          <w:rFonts w:ascii="Times New Roman" w:hAnsi="Times New Roman" w:cs="Times New Roman"/>
          <w:b/>
          <w:color w:val="000000" w:themeColor="text1"/>
          <w:sz w:val="24"/>
          <w:szCs w:val="24"/>
        </w:rPr>
        <w:t>Keywords:</w:t>
      </w:r>
      <w:r w:rsidRPr="008855DF">
        <w:rPr>
          <w:rFonts w:ascii="Times New Roman" w:hAnsi="Times New Roman" w:cs="Times New Roman"/>
          <w:color w:val="000000" w:themeColor="text1"/>
          <w:sz w:val="24"/>
          <w:szCs w:val="24"/>
        </w:rPr>
        <w:t xml:space="preserve">  </w:t>
      </w:r>
      <w:r w:rsidR="004C60EB">
        <w:rPr>
          <w:rFonts w:ascii="Times New Roman" w:hAnsi="Times New Roman" w:cs="Times New Roman"/>
          <w:color w:val="000000" w:themeColor="text1"/>
          <w:sz w:val="24"/>
          <w:szCs w:val="24"/>
        </w:rPr>
        <w:t>Environmental taxes, Environmental performance,</w:t>
      </w:r>
      <w:r>
        <w:rPr>
          <w:rFonts w:ascii="Times New Roman" w:hAnsi="Times New Roman" w:cs="Times New Roman"/>
          <w:color w:val="000000" w:themeColor="text1"/>
          <w:sz w:val="24"/>
          <w:szCs w:val="24"/>
        </w:rPr>
        <w:t xml:space="preserve"> tourism</w:t>
      </w:r>
      <w:r w:rsidR="004C60EB">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en-US"/>
        </w:rPr>
        <w:t>Panel Threshold</w:t>
      </w:r>
      <w:r w:rsidR="004C60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EU-28 countries</w:t>
      </w:r>
    </w:p>
    <w:p w14:paraId="4163960F" w14:textId="77777777" w:rsidR="008737A2" w:rsidRDefault="008737A2" w:rsidP="00157224">
      <w:pPr>
        <w:autoSpaceDE w:val="0"/>
        <w:autoSpaceDN w:val="0"/>
        <w:adjustRightInd w:val="0"/>
        <w:spacing w:after="0" w:line="240" w:lineRule="auto"/>
        <w:jc w:val="both"/>
        <w:rPr>
          <w:rFonts w:ascii="AdvOT46dcae81" w:hAnsi="AdvOT46dcae81" w:cs="AdvOT46dcae81"/>
          <w:sz w:val="18"/>
          <w:szCs w:val="18"/>
        </w:rPr>
      </w:pPr>
    </w:p>
    <w:p w14:paraId="2480A30E" w14:textId="77777777" w:rsidR="00932ED8" w:rsidRDefault="00932ED8" w:rsidP="00170CC9">
      <w:pPr>
        <w:spacing w:after="0" w:line="240" w:lineRule="auto"/>
        <w:rPr>
          <w:rFonts w:ascii="Times New Roman" w:hAnsi="Times New Roman" w:cs="Times New Roman"/>
          <w:b/>
          <w:sz w:val="24"/>
          <w:szCs w:val="24"/>
        </w:rPr>
      </w:pPr>
    </w:p>
    <w:p w14:paraId="75FC0F3F" w14:textId="77777777" w:rsidR="00932ED8" w:rsidRDefault="00932ED8" w:rsidP="00BE06F5">
      <w:pPr>
        <w:spacing w:after="0" w:line="240" w:lineRule="auto"/>
        <w:jc w:val="center"/>
        <w:rPr>
          <w:rFonts w:ascii="Times New Roman" w:hAnsi="Times New Roman" w:cs="Times New Roman"/>
          <w:b/>
          <w:sz w:val="24"/>
          <w:szCs w:val="24"/>
        </w:rPr>
      </w:pPr>
    </w:p>
    <w:p w14:paraId="61E1E8CF" w14:textId="77777777" w:rsidR="00932ED8" w:rsidRPr="003D2FE4" w:rsidRDefault="00932ED8" w:rsidP="00BE06F5">
      <w:pPr>
        <w:spacing w:after="0" w:line="240" w:lineRule="auto"/>
        <w:jc w:val="center"/>
        <w:rPr>
          <w:rFonts w:ascii="Times New Roman" w:hAnsi="Times New Roman" w:cs="Times New Roman"/>
          <w:b/>
          <w:sz w:val="24"/>
          <w:szCs w:val="24"/>
        </w:rPr>
      </w:pPr>
    </w:p>
    <w:p w14:paraId="5187D4E8" w14:textId="77777777" w:rsidR="000F0FCE" w:rsidRDefault="000F0FCE" w:rsidP="002A3F22">
      <w:pPr>
        <w:spacing w:before="240" w:after="0" w:line="240" w:lineRule="auto"/>
        <w:jc w:val="both"/>
        <w:rPr>
          <w:rFonts w:ascii="Times New Roman" w:hAnsi="Times New Roman"/>
          <w:b/>
          <w:sz w:val="28"/>
          <w:szCs w:val="28"/>
        </w:rPr>
      </w:pPr>
    </w:p>
    <w:p w14:paraId="056580A4" w14:textId="77777777" w:rsidR="000F0FCE" w:rsidRDefault="000F0FCE" w:rsidP="002A3F22">
      <w:pPr>
        <w:spacing w:before="240" w:after="0" w:line="240" w:lineRule="auto"/>
        <w:jc w:val="both"/>
        <w:rPr>
          <w:rFonts w:ascii="Times New Roman" w:hAnsi="Times New Roman"/>
          <w:b/>
          <w:sz w:val="28"/>
          <w:szCs w:val="28"/>
        </w:rPr>
      </w:pPr>
    </w:p>
    <w:p w14:paraId="2EF017C1" w14:textId="77777777" w:rsidR="000F0FCE" w:rsidRDefault="000F0FCE" w:rsidP="002A3F22">
      <w:pPr>
        <w:spacing w:before="240" w:after="0" w:line="240" w:lineRule="auto"/>
        <w:jc w:val="both"/>
        <w:rPr>
          <w:rFonts w:ascii="Times New Roman" w:hAnsi="Times New Roman"/>
          <w:b/>
          <w:sz w:val="28"/>
          <w:szCs w:val="28"/>
        </w:rPr>
      </w:pPr>
    </w:p>
    <w:p w14:paraId="717ABDEA" w14:textId="77777777" w:rsidR="000F0FCE" w:rsidRDefault="000F0FCE" w:rsidP="002A3F22">
      <w:pPr>
        <w:spacing w:before="240" w:after="0" w:line="240" w:lineRule="auto"/>
        <w:jc w:val="both"/>
        <w:rPr>
          <w:rFonts w:ascii="Times New Roman" w:hAnsi="Times New Roman"/>
          <w:b/>
          <w:sz w:val="28"/>
          <w:szCs w:val="28"/>
        </w:rPr>
      </w:pPr>
    </w:p>
    <w:p w14:paraId="54272755" w14:textId="77777777" w:rsidR="000F0FCE" w:rsidRDefault="000F0FCE" w:rsidP="002A3F22">
      <w:pPr>
        <w:spacing w:before="240" w:after="0" w:line="240" w:lineRule="auto"/>
        <w:jc w:val="both"/>
        <w:rPr>
          <w:rFonts w:ascii="Times New Roman" w:hAnsi="Times New Roman"/>
          <w:b/>
          <w:sz w:val="28"/>
          <w:szCs w:val="28"/>
        </w:rPr>
      </w:pPr>
    </w:p>
    <w:p w14:paraId="573CF39B" w14:textId="77777777" w:rsidR="000F0FCE" w:rsidRDefault="000F0FCE" w:rsidP="002A3F22">
      <w:pPr>
        <w:spacing w:before="240" w:after="0" w:line="240" w:lineRule="auto"/>
        <w:jc w:val="both"/>
        <w:rPr>
          <w:rFonts w:ascii="Times New Roman" w:hAnsi="Times New Roman"/>
          <w:b/>
          <w:sz w:val="28"/>
          <w:szCs w:val="28"/>
        </w:rPr>
      </w:pPr>
    </w:p>
    <w:p w14:paraId="1C92DC0D" w14:textId="77777777" w:rsidR="000F0FCE" w:rsidRDefault="000F0FCE" w:rsidP="002A3F22">
      <w:pPr>
        <w:spacing w:before="240" w:after="0" w:line="240" w:lineRule="auto"/>
        <w:jc w:val="both"/>
        <w:rPr>
          <w:rFonts w:ascii="Times New Roman" w:hAnsi="Times New Roman"/>
          <w:b/>
          <w:sz w:val="28"/>
          <w:szCs w:val="28"/>
        </w:rPr>
      </w:pPr>
    </w:p>
    <w:p w14:paraId="1B698457" w14:textId="77777777" w:rsidR="000F0FCE" w:rsidRDefault="000F0FCE" w:rsidP="002A3F22">
      <w:pPr>
        <w:spacing w:before="240" w:after="0" w:line="240" w:lineRule="auto"/>
        <w:jc w:val="both"/>
        <w:rPr>
          <w:rFonts w:ascii="Times New Roman" w:hAnsi="Times New Roman"/>
          <w:b/>
          <w:sz w:val="28"/>
          <w:szCs w:val="28"/>
        </w:rPr>
      </w:pPr>
    </w:p>
    <w:p w14:paraId="3036E81C" w14:textId="77777777" w:rsidR="000F0FCE" w:rsidRDefault="000F0FCE" w:rsidP="002A3F22">
      <w:pPr>
        <w:spacing w:before="240" w:after="0" w:line="240" w:lineRule="auto"/>
        <w:jc w:val="both"/>
        <w:rPr>
          <w:rFonts w:ascii="Times New Roman" w:hAnsi="Times New Roman"/>
          <w:b/>
          <w:sz w:val="28"/>
          <w:szCs w:val="28"/>
        </w:rPr>
      </w:pPr>
    </w:p>
    <w:p w14:paraId="71F26536" w14:textId="77777777" w:rsidR="000F0FCE" w:rsidRDefault="000F0FCE" w:rsidP="002A3F22">
      <w:pPr>
        <w:spacing w:before="240" w:after="0" w:line="240" w:lineRule="auto"/>
        <w:jc w:val="both"/>
        <w:rPr>
          <w:rFonts w:ascii="Times New Roman" w:hAnsi="Times New Roman"/>
          <w:b/>
          <w:sz w:val="28"/>
          <w:szCs w:val="28"/>
        </w:rPr>
      </w:pPr>
    </w:p>
    <w:p w14:paraId="57F44B20" w14:textId="77777777" w:rsidR="000F0FCE" w:rsidRDefault="000F0FCE" w:rsidP="002A3F22">
      <w:pPr>
        <w:spacing w:before="240" w:after="0" w:line="240" w:lineRule="auto"/>
        <w:jc w:val="both"/>
        <w:rPr>
          <w:rFonts w:ascii="Times New Roman" w:hAnsi="Times New Roman"/>
          <w:b/>
          <w:sz w:val="28"/>
          <w:szCs w:val="28"/>
        </w:rPr>
      </w:pPr>
    </w:p>
    <w:p w14:paraId="39186CC9" w14:textId="7B21BA48" w:rsidR="000C3BDB" w:rsidRPr="002A3F22" w:rsidRDefault="00DF7D72" w:rsidP="002A3F22">
      <w:pPr>
        <w:spacing w:before="240" w:after="0" w:line="240" w:lineRule="auto"/>
        <w:jc w:val="both"/>
        <w:rPr>
          <w:rFonts w:ascii="Times New Roman" w:hAnsi="Times New Roman"/>
          <w:b/>
          <w:sz w:val="28"/>
          <w:szCs w:val="28"/>
        </w:rPr>
      </w:pPr>
      <w:r w:rsidRPr="00C9758E">
        <w:rPr>
          <w:rFonts w:ascii="Times New Roman" w:hAnsi="Times New Roman"/>
          <w:b/>
          <w:sz w:val="28"/>
          <w:szCs w:val="28"/>
        </w:rPr>
        <w:lastRenderedPageBreak/>
        <w:t>1. Introduction</w:t>
      </w:r>
    </w:p>
    <w:p w14:paraId="7912389A" w14:textId="7D5315F0" w:rsidR="000C3BDB" w:rsidRPr="000C3BDB" w:rsidRDefault="00DF7D72" w:rsidP="000C3BDB">
      <w:pPr>
        <w:autoSpaceDE w:val="0"/>
        <w:autoSpaceDN w:val="0"/>
        <w:adjustRightInd w:val="0"/>
        <w:spacing w:after="0" w:line="276" w:lineRule="auto"/>
        <w:jc w:val="both"/>
        <w:rPr>
          <w:rFonts w:ascii="Times New Roman" w:hAnsi="Times New Roman" w:cs="Times New Roman"/>
          <w:sz w:val="24"/>
          <w:szCs w:val="24"/>
        </w:rPr>
      </w:pPr>
      <w:r w:rsidRPr="000C3BDB">
        <w:rPr>
          <w:rFonts w:ascii="Times New Roman" w:hAnsi="Times New Roman" w:cs="Times New Roman"/>
          <w:sz w:val="24"/>
          <w:szCs w:val="24"/>
        </w:rPr>
        <w:t xml:space="preserve">In addition to being implemented as a climate policy instrument toward a transition to a carbon-neutral economy by 2050 and driving the European Commission's 'European Green Deal' that targets a 55% net reduction of greenhouse gas (GHG) emissions by 2030, the environmental taxation system in Europe is also seen as a potential instrument for reform programs. Given its revenue-generating capability, revenues accrue from the environmental tax could avert future economic setbacks arising from potential costs of the welfare system and declining </w:t>
      </w:r>
      <w:r w:rsidR="002A3F22" w:rsidRPr="002A3F22">
        <w:rPr>
          <w:rFonts w:ascii="Times New Roman" w:hAnsi="Times New Roman" w:cs="Times New Roman"/>
          <w:color w:val="FF0000"/>
          <w:sz w:val="24"/>
          <w:szCs w:val="24"/>
        </w:rPr>
        <w:t>labour</w:t>
      </w:r>
      <w:r w:rsidRPr="000C3BDB">
        <w:rPr>
          <w:rFonts w:ascii="Times New Roman" w:hAnsi="Times New Roman" w:cs="Times New Roman"/>
          <w:sz w:val="24"/>
          <w:szCs w:val="24"/>
        </w:rPr>
        <w:t xml:space="preserve"> tax revenues associated with the region's rising aging population. Specifically, the region's environmental tax policy is being championed as an effective instrument that directly targets revenue collection through taxation of resource use and environmental pollution as against the traditional taxation on labour and capital (European Environment Agency, 2022). Despite this projection, only about 5.4 percent of total taxes and social contributions in the European Union (EU) is accrued from environmental taxes (including energy, resource, pollution, and transport), which is just about 2.2 percent of the EU gross domestic product (GDP) in 2020 (European Commission, 2021). Expectedly, the energy sector which is the engine of sectors of most economies (both tradable and non-tradable) is being taxed such that it generates 77.2 percent of the entire EU's environmental tax in 2020 (European Commission, 2021). In the European region, despite the increasing expansion of the service industry, revenue generation from energy taxation arising from increasing energy demand is not unexpected.   </w:t>
      </w:r>
    </w:p>
    <w:p w14:paraId="4B126721" w14:textId="717FDEE9" w:rsidR="000C3BDB" w:rsidRPr="000C3BDB" w:rsidRDefault="00DF7D72" w:rsidP="000C3BDB">
      <w:pPr>
        <w:autoSpaceDE w:val="0"/>
        <w:autoSpaceDN w:val="0"/>
        <w:adjustRightInd w:val="0"/>
        <w:spacing w:before="240" w:after="0" w:line="276" w:lineRule="auto"/>
        <w:jc w:val="both"/>
        <w:rPr>
          <w:rFonts w:ascii="Times New Roman" w:hAnsi="Times New Roman" w:cs="Times New Roman"/>
          <w:sz w:val="24"/>
          <w:szCs w:val="24"/>
        </w:rPr>
      </w:pPr>
      <w:r w:rsidRPr="000C3BDB">
        <w:rPr>
          <w:rFonts w:ascii="Times New Roman" w:hAnsi="Times New Roman" w:cs="Times New Roman"/>
          <w:sz w:val="24"/>
          <w:szCs w:val="24"/>
        </w:rPr>
        <w:t>As a service-oriented industry, tourism development stimulates demand for energy consumption, job creation, and hence ec</w:t>
      </w:r>
      <w:r w:rsidR="00381EAB">
        <w:rPr>
          <w:rFonts w:ascii="Times New Roman" w:hAnsi="Times New Roman" w:cs="Times New Roman"/>
          <w:sz w:val="24"/>
          <w:szCs w:val="24"/>
        </w:rPr>
        <w:t>onomic growth (Usman et al. 2020</w:t>
      </w:r>
      <w:r w:rsidRPr="000C3BDB">
        <w:rPr>
          <w:rFonts w:ascii="Times New Roman" w:hAnsi="Times New Roman" w:cs="Times New Roman"/>
          <w:sz w:val="24"/>
          <w:szCs w:val="24"/>
        </w:rPr>
        <w:t>). Tourism has remained an important component of the service industry essentially because it is a channel to make a better life for the people and future generations. Based on the positive role of tourism, the development of tourism becomes a great concern of the government and its managers in most countries of the world. According to the pre-coronavirus (Covid-19) pandemic statistics of the United Nations' World Trade Organization (2019), the world's total earnings from international tourism increased over the years with an unprecedented growth of 6% in 2018, which is higher than the growth of the merchandize exports. In the European countries, the travel and tourism sector alone generated about 14 million direct jobs in 2017 and 14.4 million in 2018. Moreover, the contribution of this sector to the Gross Domestic Product (GDP) of the continent significantly increased from 1,843.1 USD in 2012 to 2,155.5 billion USD in 2018. Despite the ongoing Ukraine-Russian conflict and the slow recovery of the region's tourism activities especially to the 2019 pre-coronavirus level, tourism activities are reportedly paced up in Serbia, Turkey,</w:t>
      </w:r>
      <w:r w:rsidRPr="000C3BDB">
        <w:rPr>
          <w:sz w:val="24"/>
          <w:szCs w:val="24"/>
        </w:rPr>
        <w:t xml:space="preserve"> </w:t>
      </w:r>
      <w:r w:rsidRPr="000C3BDB">
        <w:rPr>
          <w:rFonts w:ascii="Times New Roman" w:hAnsi="Times New Roman" w:cs="Times New Roman"/>
          <w:sz w:val="24"/>
          <w:szCs w:val="24"/>
        </w:rPr>
        <w:t>Bulgaria, Austria, Spain, Croatia,</w:t>
      </w:r>
      <w:r w:rsidRPr="000C3BDB">
        <w:rPr>
          <w:sz w:val="24"/>
          <w:szCs w:val="24"/>
        </w:rPr>
        <w:t xml:space="preserve"> </w:t>
      </w:r>
      <w:r w:rsidRPr="000C3BDB">
        <w:rPr>
          <w:rFonts w:ascii="Times New Roman" w:hAnsi="Times New Roman" w:cs="Times New Roman"/>
          <w:sz w:val="24"/>
          <w:szCs w:val="24"/>
        </w:rPr>
        <w:t xml:space="preserve">and Monaco (European Tourism Commission, 2022). Irrespective of </w:t>
      </w:r>
      <w:r w:rsidRPr="002A3F22">
        <w:rPr>
          <w:rFonts w:ascii="Times New Roman" w:hAnsi="Times New Roman" w:cs="Times New Roman"/>
          <w:color w:val="FF0000"/>
          <w:sz w:val="24"/>
          <w:szCs w:val="24"/>
        </w:rPr>
        <w:t>the</w:t>
      </w:r>
      <w:r w:rsidRPr="000C3BDB">
        <w:rPr>
          <w:rFonts w:ascii="Times New Roman" w:hAnsi="Times New Roman" w:cs="Times New Roman"/>
          <w:sz w:val="24"/>
          <w:szCs w:val="24"/>
        </w:rPr>
        <w:t xml:space="preserve"> development in the region's tourism industry, the infrastructural facilities and high level of energy demand from the tourism sector are found to be </w:t>
      </w:r>
      <w:r w:rsidR="002A3F22" w:rsidRPr="002A3F22">
        <w:rPr>
          <w:rFonts w:ascii="Times New Roman" w:hAnsi="Times New Roman" w:cs="Times New Roman"/>
          <w:color w:val="FF0000"/>
          <w:sz w:val="24"/>
          <w:szCs w:val="24"/>
        </w:rPr>
        <w:t>the</w:t>
      </w:r>
      <w:r w:rsidR="002A3F22">
        <w:rPr>
          <w:rFonts w:ascii="Times New Roman" w:hAnsi="Times New Roman" w:cs="Times New Roman"/>
          <w:sz w:val="24"/>
          <w:szCs w:val="24"/>
        </w:rPr>
        <w:t xml:space="preserve"> </w:t>
      </w:r>
      <w:r w:rsidRPr="000C3BDB">
        <w:rPr>
          <w:rFonts w:ascii="Times New Roman" w:hAnsi="Times New Roman" w:cs="Times New Roman"/>
          <w:sz w:val="24"/>
          <w:szCs w:val="24"/>
        </w:rPr>
        <w:t>major contributory factors behind the accumulation of carbon dioxide in the atmosphere, leading to environmenta</w:t>
      </w:r>
      <w:r w:rsidR="00381EAB">
        <w:rPr>
          <w:rFonts w:ascii="Times New Roman" w:hAnsi="Times New Roman" w:cs="Times New Roman"/>
          <w:sz w:val="24"/>
          <w:szCs w:val="24"/>
        </w:rPr>
        <w:t>l degradation (Usman et al. 2020</w:t>
      </w:r>
      <w:r w:rsidRPr="000C3BDB">
        <w:rPr>
          <w:rFonts w:ascii="Times New Roman" w:hAnsi="Times New Roman" w:cs="Times New Roman"/>
          <w:sz w:val="24"/>
          <w:szCs w:val="24"/>
        </w:rPr>
        <w:t>; Eluwole et al., 2020; Alola et al., 2021).</w:t>
      </w:r>
    </w:p>
    <w:p w14:paraId="1C0B2825" w14:textId="77777777" w:rsidR="000C3BDB" w:rsidRPr="000C3BDB" w:rsidRDefault="00DF7D72" w:rsidP="000C3BDB">
      <w:pPr>
        <w:autoSpaceDE w:val="0"/>
        <w:autoSpaceDN w:val="0"/>
        <w:adjustRightInd w:val="0"/>
        <w:spacing w:before="240" w:after="0" w:line="276" w:lineRule="auto"/>
        <w:jc w:val="both"/>
        <w:rPr>
          <w:rFonts w:ascii="Times New Roman" w:hAnsi="Times New Roman" w:cs="Times New Roman"/>
          <w:sz w:val="24"/>
          <w:szCs w:val="24"/>
        </w:rPr>
      </w:pPr>
      <w:r w:rsidRPr="000C3BDB">
        <w:rPr>
          <w:rFonts w:ascii="Times New Roman" w:hAnsi="Times New Roman" w:cs="Times New Roman"/>
          <w:sz w:val="24"/>
          <w:szCs w:val="24"/>
        </w:rPr>
        <w:t xml:space="preserve">Given the importance of the EU's environment taxation and its huge tourism industry arising from the borderless policy across member states and the high number of medium-distance flights within the EU member countries which is reported to increase even with the </w:t>
      </w:r>
      <w:r w:rsidRPr="000C3BDB">
        <w:rPr>
          <w:rFonts w:ascii="Times New Roman" w:hAnsi="Times New Roman" w:cs="Times New Roman"/>
          <w:sz w:val="24"/>
          <w:szCs w:val="24"/>
        </w:rPr>
        <w:lastRenderedPageBreak/>
        <w:t>implementation of aviation fuel tax (Tol, 2007), the drivers of the region's environmental performance are examined in this study. Then, the obj</w:t>
      </w:r>
      <w:r w:rsidR="006E162B">
        <w:rPr>
          <w:rFonts w:ascii="Times New Roman" w:hAnsi="Times New Roman" w:cs="Times New Roman"/>
          <w:sz w:val="24"/>
          <w:szCs w:val="24"/>
        </w:rPr>
        <w:t>ective of the study is outlined;</w:t>
      </w:r>
      <w:r w:rsidRPr="000C3BDB">
        <w:rPr>
          <w:rFonts w:ascii="Times New Roman" w:hAnsi="Times New Roman" w:cs="Times New Roman"/>
          <w:sz w:val="24"/>
          <w:szCs w:val="24"/>
        </w:rPr>
        <w:t xml:space="preserve"> first, to reveal the influence of both environmental tax and tourism development on environmental performance in the panel of EU-28 member countries</w:t>
      </w:r>
      <w:r w:rsidR="006E162B">
        <w:rPr>
          <w:rFonts w:ascii="Times New Roman" w:hAnsi="Times New Roman" w:cs="Times New Roman"/>
          <w:sz w:val="24"/>
          <w:szCs w:val="24"/>
        </w:rPr>
        <w:t>. Second</w:t>
      </w:r>
      <w:r w:rsidRPr="000C3BDB">
        <w:rPr>
          <w:rFonts w:ascii="Times New Roman" w:hAnsi="Times New Roman" w:cs="Times New Roman"/>
          <w:sz w:val="24"/>
          <w:szCs w:val="24"/>
        </w:rPr>
        <w:t>, the study posits to see whether environmental tax mediates the impact of tourism development on environmental performance. Lastly, the role of other potential instruments of environmental perfo</w:t>
      </w:r>
      <w:r w:rsidR="006E162B">
        <w:rPr>
          <w:rFonts w:ascii="Times New Roman" w:hAnsi="Times New Roman" w:cs="Times New Roman"/>
          <w:sz w:val="24"/>
          <w:szCs w:val="24"/>
        </w:rPr>
        <w:t xml:space="preserve">rmance such as renewable energy, research and development, </w:t>
      </w:r>
      <w:r w:rsidRPr="000C3BDB">
        <w:rPr>
          <w:rFonts w:ascii="Times New Roman" w:hAnsi="Times New Roman" w:cs="Times New Roman"/>
          <w:sz w:val="24"/>
          <w:szCs w:val="24"/>
        </w:rPr>
        <w:t>and economic growth in the region are investigated. Remarkably, by following the above-outlined objectives which are rarely available in the existing literature, the outcome of this study offers a significant contribution to the literature by deepening both the discussion in theory and practice.</w:t>
      </w:r>
    </w:p>
    <w:p w14:paraId="730FCE08" w14:textId="77777777" w:rsidR="000C3BDB" w:rsidRPr="000C3BDB" w:rsidRDefault="00DF7D72" w:rsidP="000C3BDB">
      <w:pPr>
        <w:autoSpaceDE w:val="0"/>
        <w:autoSpaceDN w:val="0"/>
        <w:adjustRightInd w:val="0"/>
        <w:spacing w:before="240" w:after="0" w:line="276" w:lineRule="auto"/>
        <w:jc w:val="both"/>
        <w:rPr>
          <w:rFonts w:ascii="Times New Roman" w:hAnsi="Times New Roman" w:cs="Times New Roman"/>
          <w:sz w:val="24"/>
          <w:szCs w:val="24"/>
        </w:rPr>
      </w:pPr>
      <w:r w:rsidRPr="000C3BDB">
        <w:rPr>
          <w:rFonts w:ascii="Times New Roman" w:hAnsi="Times New Roman" w:cs="Times New Roman"/>
          <w:sz w:val="24"/>
          <w:szCs w:val="24"/>
        </w:rPr>
        <w:t>There are other parts of the study that offers guidance through relevant implementations. For instance, the discussion of the supporting theoretical framework and related literature are provided in section 2. The description of the dataset and implementation of the empirical methods are outlined in section 3. In sections 4 and 5, the discussion of the results of the investigation followed by the presentation of the summary of the study with policy recommendations is respectively detailed.</w:t>
      </w:r>
    </w:p>
    <w:p w14:paraId="40600AC2" w14:textId="064648B7" w:rsidR="000C3BDB" w:rsidRPr="00F43ED7" w:rsidRDefault="00DF7D72" w:rsidP="00130DEB">
      <w:pPr>
        <w:spacing w:before="240" w:after="0" w:line="240" w:lineRule="auto"/>
        <w:jc w:val="both"/>
        <w:rPr>
          <w:rFonts w:ascii="Times New Roman" w:hAnsi="Times New Roman" w:cs="Times New Roman"/>
          <w:b/>
          <w:color w:val="FF0000"/>
          <w:sz w:val="28"/>
          <w:szCs w:val="28"/>
        </w:rPr>
      </w:pPr>
      <w:r w:rsidRPr="00F43ED7">
        <w:rPr>
          <w:rFonts w:ascii="Times New Roman" w:hAnsi="Times New Roman" w:cs="Times New Roman"/>
          <w:b/>
          <w:color w:val="FF0000"/>
          <w:sz w:val="28"/>
          <w:szCs w:val="28"/>
        </w:rPr>
        <w:t xml:space="preserve">2. Theoretical </w:t>
      </w:r>
      <w:r w:rsidR="00F43ED7" w:rsidRPr="00F43ED7">
        <w:rPr>
          <w:rFonts w:ascii="Times New Roman" w:hAnsi="Times New Roman" w:cs="Times New Roman"/>
          <w:b/>
          <w:color w:val="FF0000"/>
          <w:sz w:val="28"/>
          <w:szCs w:val="28"/>
        </w:rPr>
        <w:t>and empirical</w:t>
      </w:r>
      <w:r w:rsidRPr="00F43ED7">
        <w:rPr>
          <w:rFonts w:ascii="Times New Roman" w:hAnsi="Times New Roman" w:cs="Times New Roman"/>
          <w:b/>
          <w:color w:val="FF0000"/>
          <w:sz w:val="28"/>
          <w:szCs w:val="28"/>
        </w:rPr>
        <w:t xml:space="preserve"> literature</w:t>
      </w:r>
    </w:p>
    <w:p w14:paraId="38597862" w14:textId="77777777" w:rsidR="006C6CA2" w:rsidRDefault="00932ED8" w:rsidP="000C3BDB">
      <w:pPr>
        <w:spacing w:after="0" w:line="276" w:lineRule="auto"/>
        <w:jc w:val="both"/>
        <w:rPr>
          <w:rFonts w:ascii="Times New Roman" w:hAnsi="Times New Roman" w:cs="Times New Roman"/>
          <w:iCs/>
          <w:color w:val="FF0000"/>
          <w:sz w:val="24"/>
          <w:szCs w:val="24"/>
        </w:rPr>
      </w:pPr>
      <w:r>
        <w:rPr>
          <w:rFonts w:ascii="Times New Roman" w:hAnsi="Times New Roman" w:cs="Times New Roman"/>
          <w:iCs/>
          <w:sz w:val="24"/>
          <w:szCs w:val="24"/>
        </w:rPr>
        <w:t xml:space="preserve">The nexus between environmental taxes and environmental pollution </w:t>
      </w:r>
      <w:r w:rsidR="000C01D0">
        <w:rPr>
          <w:rFonts w:ascii="Times New Roman" w:hAnsi="Times New Roman" w:cs="Times New Roman"/>
          <w:iCs/>
          <w:sz w:val="24"/>
          <w:szCs w:val="24"/>
        </w:rPr>
        <w:t>is a central discussion in the double-dividend hypothesis.</w:t>
      </w:r>
      <w:r w:rsidR="00253960">
        <w:rPr>
          <w:rFonts w:ascii="Times New Roman" w:hAnsi="Times New Roman" w:cs="Times New Roman"/>
          <w:iCs/>
          <w:sz w:val="24"/>
          <w:szCs w:val="24"/>
        </w:rPr>
        <w:t xml:space="preserve"> According to this </w:t>
      </w:r>
      <w:r w:rsidR="00E72B50">
        <w:rPr>
          <w:rFonts w:ascii="Times New Roman" w:hAnsi="Times New Roman" w:cs="Times New Roman"/>
          <w:iCs/>
          <w:sz w:val="24"/>
          <w:szCs w:val="24"/>
        </w:rPr>
        <w:t>hypothesis, environmental</w:t>
      </w:r>
      <w:r w:rsidR="00253960">
        <w:rPr>
          <w:rFonts w:ascii="Times New Roman" w:hAnsi="Times New Roman" w:cs="Times New Roman"/>
          <w:iCs/>
          <w:sz w:val="24"/>
          <w:szCs w:val="24"/>
        </w:rPr>
        <w:t xml:space="preserve"> taxes as an instrument reduce polluting activities of households, firms and industries thereby bringing about some </w:t>
      </w:r>
      <w:r w:rsidR="00E72B50">
        <w:rPr>
          <w:rFonts w:ascii="Times New Roman" w:hAnsi="Times New Roman" w:cs="Times New Roman"/>
          <w:iCs/>
          <w:sz w:val="24"/>
          <w:szCs w:val="24"/>
        </w:rPr>
        <w:t>level</w:t>
      </w:r>
      <w:r w:rsidR="00253960">
        <w:rPr>
          <w:rFonts w:ascii="Times New Roman" w:hAnsi="Times New Roman" w:cs="Times New Roman"/>
          <w:iCs/>
          <w:sz w:val="24"/>
          <w:szCs w:val="24"/>
        </w:rPr>
        <w:t xml:space="preserve">s of benefits. </w:t>
      </w:r>
      <w:r w:rsidR="00E72B50">
        <w:rPr>
          <w:rFonts w:ascii="Times New Roman" w:hAnsi="Times New Roman" w:cs="Times New Roman"/>
          <w:iCs/>
          <w:sz w:val="24"/>
          <w:szCs w:val="24"/>
        </w:rPr>
        <w:t>Notably</w:t>
      </w:r>
      <w:r w:rsidR="00253960">
        <w:rPr>
          <w:rFonts w:ascii="Times New Roman" w:hAnsi="Times New Roman" w:cs="Times New Roman"/>
          <w:iCs/>
          <w:sz w:val="24"/>
          <w:szCs w:val="24"/>
        </w:rPr>
        <w:t xml:space="preserve">, environmental tax </w:t>
      </w:r>
      <w:r w:rsidR="00E72B50">
        <w:rPr>
          <w:rFonts w:ascii="Times New Roman" w:hAnsi="Times New Roman" w:cs="Times New Roman"/>
          <w:iCs/>
          <w:color w:val="FF0000"/>
          <w:sz w:val="24"/>
          <w:szCs w:val="24"/>
        </w:rPr>
        <w:t xml:space="preserve">potentially </w:t>
      </w:r>
      <w:r w:rsidR="00253960">
        <w:rPr>
          <w:rFonts w:ascii="Times New Roman" w:hAnsi="Times New Roman" w:cs="Times New Roman"/>
          <w:iCs/>
          <w:sz w:val="24"/>
          <w:szCs w:val="24"/>
        </w:rPr>
        <w:t xml:space="preserve">improves environmental quality </w:t>
      </w:r>
      <w:r w:rsidR="002A3F22">
        <w:rPr>
          <w:rFonts w:ascii="Times New Roman" w:hAnsi="Times New Roman" w:cs="Times New Roman"/>
          <w:iCs/>
          <w:color w:val="FF0000"/>
          <w:sz w:val="24"/>
          <w:szCs w:val="24"/>
        </w:rPr>
        <w:t>alongside improving</w:t>
      </w:r>
      <w:r w:rsidR="00253960" w:rsidRPr="002A3F22">
        <w:rPr>
          <w:rFonts w:ascii="Times New Roman" w:hAnsi="Times New Roman" w:cs="Times New Roman"/>
          <w:iCs/>
          <w:color w:val="FF0000"/>
          <w:sz w:val="24"/>
          <w:szCs w:val="24"/>
        </w:rPr>
        <w:t xml:space="preserve"> </w:t>
      </w:r>
      <w:r w:rsidR="00253960">
        <w:rPr>
          <w:rFonts w:ascii="Times New Roman" w:hAnsi="Times New Roman" w:cs="Times New Roman"/>
          <w:iCs/>
          <w:sz w:val="24"/>
          <w:szCs w:val="24"/>
        </w:rPr>
        <w:t xml:space="preserve">economic efficiency and raises revenues to improve the environment (See </w:t>
      </w:r>
      <w:r w:rsidR="00253960" w:rsidRPr="00253960">
        <w:rPr>
          <w:rFonts w:ascii="Times New Roman" w:eastAsia="STIX-Regular" w:hAnsi="Times New Roman" w:cs="Times New Roman"/>
          <w:sz w:val="24"/>
          <w:szCs w:val="24"/>
        </w:rPr>
        <w:t>Aydin &amp; Esen, 2018</w:t>
      </w:r>
      <w:r w:rsidR="00253960" w:rsidRPr="00253960">
        <w:rPr>
          <w:rFonts w:ascii="Times New Roman" w:hAnsi="Times New Roman" w:cs="Times New Roman"/>
          <w:iCs/>
          <w:sz w:val="24"/>
          <w:szCs w:val="24"/>
        </w:rPr>
        <w:t xml:space="preserve"> </w:t>
      </w:r>
      <w:r w:rsidR="00253960" w:rsidRPr="00253960">
        <w:rPr>
          <w:rFonts w:ascii="Times New Roman" w:eastAsia="STIX-Regular" w:hAnsi="Times New Roman" w:cs="Times New Roman"/>
          <w:sz w:val="24"/>
          <w:szCs w:val="24"/>
        </w:rPr>
        <w:t>Borozan, 2019</w:t>
      </w:r>
      <w:r w:rsidR="00253960">
        <w:rPr>
          <w:rFonts w:ascii="Times New Roman" w:hAnsi="Times New Roman" w:cs="Times New Roman"/>
          <w:iCs/>
          <w:sz w:val="24"/>
          <w:szCs w:val="24"/>
        </w:rPr>
        <w:t>)</w:t>
      </w:r>
      <w:r w:rsidR="00B61C63">
        <w:rPr>
          <w:rFonts w:ascii="Times New Roman" w:hAnsi="Times New Roman" w:cs="Times New Roman"/>
          <w:iCs/>
          <w:sz w:val="24"/>
          <w:szCs w:val="24"/>
        </w:rPr>
        <w:t xml:space="preserve">. </w:t>
      </w:r>
      <w:r w:rsidR="00E72B50">
        <w:rPr>
          <w:rFonts w:ascii="Times New Roman" w:hAnsi="Times New Roman" w:cs="Times New Roman"/>
          <w:iCs/>
          <w:color w:val="FF0000"/>
          <w:sz w:val="24"/>
          <w:szCs w:val="24"/>
        </w:rPr>
        <w:t>In a foremost study</w:t>
      </w:r>
      <w:r w:rsidR="00B61C63">
        <w:rPr>
          <w:rFonts w:ascii="Times New Roman" w:hAnsi="Times New Roman" w:cs="Times New Roman"/>
          <w:iCs/>
          <w:sz w:val="24"/>
          <w:szCs w:val="24"/>
        </w:rPr>
        <w:t>, t</w:t>
      </w:r>
      <w:r w:rsidR="00DF7D72" w:rsidRPr="000C3BDB">
        <w:rPr>
          <w:rFonts w:ascii="Times New Roman" w:hAnsi="Times New Roman" w:cs="Times New Roman"/>
          <w:iCs/>
          <w:sz w:val="24"/>
          <w:szCs w:val="24"/>
        </w:rPr>
        <w:t xml:space="preserve">he application of general (and computable) equilibrium theory </w:t>
      </w:r>
      <w:r w:rsidR="00B61C63">
        <w:rPr>
          <w:rFonts w:ascii="Times New Roman" w:hAnsi="Times New Roman" w:cs="Times New Roman"/>
          <w:iCs/>
          <w:sz w:val="24"/>
          <w:szCs w:val="24"/>
        </w:rPr>
        <w:t xml:space="preserve">in empirical studies </w:t>
      </w:r>
      <w:r w:rsidR="00DF7D72" w:rsidRPr="006107C7">
        <w:rPr>
          <w:rFonts w:ascii="Times New Roman" w:hAnsi="Times New Roman" w:cs="Times New Roman"/>
          <w:iCs/>
          <w:color w:val="FF0000"/>
          <w:sz w:val="24"/>
          <w:szCs w:val="24"/>
        </w:rPr>
        <w:t xml:space="preserve">yielded </w:t>
      </w:r>
      <w:r w:rsidR="006107C7" w:rsidRPr="006107C7">
        <w:rPr>
          <w:rFonts w:ascii="Times New Roman" w:hAnsi="Times New Roman" w:cs="Times New Roman"/>
          <w:iCs/>
          <w:color w:val="FF0000"/>
          <w:sz w:val="24"/>
          <w:szCs w:val="24"/>
        </w:rPr>
        <w:t xml:space="preserve">a </w:t>
      </w:r>
      <w:r w:rsidR="00DF7D72" w:rsidRPr="000C3BDB">
        <w:rPr>
          <w:rFonts w:ascii="Times New Roman" w:hAnsi="Times New Roman" w:cs="Times New Roman"/>
          <w:iCs/>
          <w:sz w:val="24"/>
          <w:szCs w:val="24"/>
        </w:rPr>
        <w:t>significant value in understanding the impacts of the environmental-r</w:t>
      </w:r>
      <w:r w:rsidR="00B61C63">
        <w:rPr>
          <w:rFonts w:ascii="Times New Roman" w:hAnsi="Times New Roman" w:cs="Times New Roman"/>
          <w:iCs/>
          <w:sz w:val="24"/>
          <w:szCs w:val="24"/>
        </w:rPr>
        <w:t>elated tax such as carbon tax</w:t>
      </w:r>
      <w:r w:rsidR="00B61C63" w:rsidRPr="006C6CA2">
        <w:rPr>
          <w:rFonts w:ascii="Times New Roman" w:hAnsi="Times New Roman" w:cs="Times New Roman"/>
          <w:iCs/>
          <w:color w:val="FF0000"/>
          <w:sz w:val="24"/>
          <w:szCs w:val="24"/>
        </w:rPr>
        <w:t xml:space="preserve">. </w:t>
      </w:r>
      <w:r w:rsidR="006107C7" w:rsidRPr="006C6CA2">
        <w:rPr>
          <w:rFonts w:ascii="Times New Roman" w:hAnsi="Times New Roman" w:cs="Times New Roman"/>
          <w:iCs/>
          <w:color w:val="FF0000"/>
          <w:sz w:val="24"/>
          <w:szCs w:val="24"/>
        </w:rPr>
        <w:t>Specifically</w:t>
      </w:r>
      <w:r w:rsidR="00B61C63" w:rsidRPr="006C6CA2">
        <w:rPr>
          <w:rFonts w:ascii="Times New Roman" w:hAnsi="Times New Roman" w:cs="Times New Roman"/>
          <w:iCs/>
          <w:color w:val="FF0000"/>
          <w:sz w:val="24"/>
          <w:szCs w:val="24"/>
        </w:rPr>
        <w:t>, b</w:t>
      </w:r>
      <w:r w:rsidR="00DF7D72" w:rsidRPr="006C6CA2">
        <w:rPr>
          <w:rFonts w:ascii="Times New Roman" w:hAnsi="Times New Roman" w:cs="Times New Roman"/>
          <w:iCs/>
          <w:color w:val="FF0000"/>
          <w:sz w:val="24"/>
          <w:szCs w:val="24"/>
        </w:rPr>
        <w:t>y applying the</w:t>
      </w:r>
      <w:r w:rsidR="00DF7D72" w:rsidRPr="006C6CA2">
        <w:rPr>
          <w:rFonts w:ascii="Times New Roman" w:hAnsi="Times New Roman" w:cs="Times New Roman"/>
          <w:color w:val="FF0000"/>
          <w:sz w:val="24"/>
          <w:szCs w:val="24"/>
        </w:rPr>
        <w:t xml:space="preserve"> </w:t>
      </w:r>
      <w:r w:rsidR="00DF7D72" w:rsidRPr="006C6CA2">
        <w:rPr>
          <w:rFonts w:ascii="Times New Roman" w:hAnsi="Times New Roman" w:cs="Times New Roman"/>
          <w:iCs/>
          <w:color w:val="FF0000"/>
          <w:sz w:val="24"/>
          <w:szCs w:val="24"/>
        </w:rPr>
        <w:t>general equilibrium theory, Pearce (1991) pioneered that the application of carbon tax which is found to mitigate carbon emission and limit economic growth is far more beneficial.</w:t>
      </w:r>
    </w:p>
    <w:p w14:paraId="3F898613" w14:textId="1134E100" w:rsidR="000C3BDB" w:rsidRPr="00A24964" w:rsidRDefault="00052F36" w:rsidP="00A24964">
      <w:pPr>
        <w:spacing w:before="240" w:after="0" w:line="276" w:lineRule="auto"/>
        <w:jc w:val="both"/>
        <w:rPr>
          <w:rFonts w:ascii="Times New Roman" w:hAnsi="Times New Roman" w:cs="Times New Roman"/>
          <w:iCs/>
          <w:color w:val="FF0000"/>
          <w:sz w:val="24"/>
          <w:szCs w:val="24"/>
        </w:rPr>
      </w:pPr>
      <w:r w:rsidRPr="00A24964">
        <w:rPr>
          <w:rFonts w:ascii="Times New Roman" w:hAnsi="Times New Roman" w:cs="Times New Roman"/>
          <w:iCs/>
          <w:color w:val="FF0000"/>
          <w:sz w:val="24"/>
          <w:szCs w:val="24"/>
        </w:rPr>
        <w:t>Moreove</w:t>
      </w:r>
      <w:r w:rsidR="006343F1" w:rsidRPr="00A24964">
        <w:rPr>
          <w:rFonts w:ascii="Times New Roman" w:hAnsi="Times New Roman" w:cs="Times New Roman"/>
          <w:iCs/>
          <w:color w:val="FF0000"/>
          <w:sz w:val="24"/>
          <w:szCs w:val="24"/>
        </w:rPr>
        <w:t>r, there are attempted follow-up studies to</w:t>
      </w:r>
      <w:r w:rsidR="006343F1" w:rsidRPr="00A24964">
        <w:rPr>
          <w:rFonts w:ascii="Times New Roman" w:hAnsi="Times New Roman" w:cs="Times New Roman"/>
          <w:color w:val="FF0000"/>
        </w:rPr>
        <w:t xml:space="preserve"> </w:t>
      </w:r>
      <w:r w:rsidR="006343F1" w:rsidRPr="00A24964">
        <w:rPr>
          <w:rFonts w:ascii="Times New Roman" w:hAnsi="Times New Roman" w:cs="Times New Roman"/>
          <w:iCs/>
          <w:color w:val="FF0000"/>
          <w:sz w:val="24"/>
          <w:szCs w:val="24"/>
        </w:rPr>
        <w:t xml:space="preserve">Pearce (1991) that further explored the criticality of the </w:t>
      </w:r>
      <w:r w:rsidR="003966D1" w:rsidRPr="00A24964">
        <w:rPr>
          <w:rFonts w:ascii="Times New Roman" w:hAnsi="Times New Roman" w:cs="Times New Roman"/>
          <w:iCs/>
          <w:color w:val="FF0000"/>
          <w:sz w:val="24"/>
          <w:szCs w:val="24"/>
        </w:rPr>
        <w:t>supposedly two benefits</w:t>
      </w:r>
      <w:r w:rsidR="006343F1" w:rsidRPr="00A24964">
        <w:rPr>
          <w:rFonts w:ascii="Times New Roman" w:hAnsi="Times New Roman" w:cs="Times New Roman"/>
          <w:iCs/>
          <w:color w:val="FF0000"/>
          <w:sz w:val="24"/>
          <w:szCs w:val="24"/>
        </w:rPr>
        <w:t xml:space="preserve"> of environmental tax</w:t>
      </w:r>
      <w:r w:rsidR="009515EF" w:rsidRPr="00A24964">
        <w:rPr>
          <w:rFonts w:ascii="Times New Roman" w:hAnsi="Times New Roman" w:cs="Times New Roman"/>
          <w:iCs/>
          <w:color w:val="FF0000"/>
          <w:sz w:val="24"/>
          <w:szCs w:val="24"/>
        </w:rPr>
        <w:t>ation</w:t>
      </w:r>
      <w:r w:rsidR="006343F1" w:rsidRPr="00A24964">
        <w:rPr>
          <w:rFonts w:ascii="Times New Roman" w:hAnsi="Times New Roman" w:cs="Times New Roman"/>
          <w:iCs/>
          <w:color w:val="FF0000"/>
          <w:sz w:val="24"/>
          <w:szCs w:val="24"/>
        </w:rPr>
        <w:t xml:space="preserve"> (</w:t>
      </w:r>
      <w:r w:rsidR="00A02783" w:rsidRPr="00A24964">
        <w:rPr>
          <w:rFonts w:ascii="Times New Roman" w:hAnsi="Times New Roman" w:cs="Times New Roman"/>
          <w:iCs/>
          <w:color w:val="FF0000"/>
          <w:sz w:val="24"/>
          <w:szCs w:val="24"/>
        </w:rPr>
        <w:t>Goulder, 1995</w:t>
      </w:r>
      <w:r w:rsidR="006343F1" w:rsidRPr="00A24964">
        <w:rPr>
          <w:rFonts w:ascii="Times New Roman" w:hAnsi="Times New Roman" w:cs="Times New Roman"/>
          <w:iCs/>
          <w:color w:val="FF0000"/>
          <w:sz w:val="24"/>
          <w:szCs w:val="24"/>
        </w:rPr>
        <w:t xml:space="preserve">; </w:t>
      </w:r>
      <w:bookmarkStart w:id="0" w:name="_Hlk118664627"/>
      <w:r w:rsidR="00A02783" w:rsidRPr="00A24964">
        <w:rPr>
          <w:rFonts w:ascii="Times New Roman" w:hAnsi="Times New Roman" w:cs="Times New Roman"/>
          <w:iCs/>
          <w:color w:val="FF0000"/>
          <w:sz w:val="24"/>
          <w:szCs w:val="24"/>
        </w:rPr>
        <w:t>Fullerton</w:t>
      </w:r>
      <w:r w:rsidR="006343F1" w:rsidRPr="00A24964">
        <w:rPr>
          <w:rFonts w:ascii="Times New Roman" w:hAnsi="Times New Roman" w:cs="Times New Roman"/>
          <w:iCs/>
          <w:color w:val="FF0000"/>
          <w:sz w:val="24"/>
          <w:szCs w:val="24"/>
        </w:rPr>
        <w:t xml:space="preserve"> </w:t>
      </w:r>
      <w:r w:rsidR="00A02783" w:rsidRPr="00A24964">
        <w:rPr>
          <w:rFonts w:ascii="Times New Roman" w:hAnsi="Times New Roman" w:cs="Times New Roman"/>
          <w:iCs/>
          <w:color w:val="FF0000"/>
          <w:sz w:val="24"/>
          <w:szCs w:val="24"/>
        </w:rPr>
        <w:t>&amp; Metcalf, 1997</w:t>
      </w:r>
      <w:bookmarkEnd w:id="0"/>
      <w:r w:rsidR="006343F1" w:rsidRPr="00A24964">
        <w:rPr>
          <w:rFonts w:ascii="Times New Roman" w:hAnsi="Times New Roman" w:cs="Times New Roman"/>
          <w:iCs/>
          <w:color w:val="FF0000"/>
          <w:sz w:val="24"/>
          <w:szCs w:val="24"/>
        </w:rPr>
        <w:t xml:space="preserve">). </w:t>
      </w:r>
      <w:r w:rsidR="00304C2F" w:rsidRPr="00A24964">
        <w:rPr>
          <w:rFonts w:ascii="Times New Roman" w:hAnsi="Times New Roman" w:cs="Times New Roman"/>
          <w:iCs/>
          <w:color w:val="FF0000"/>
          <w:sz w:val="24"/>
          <w:szCs w:val="24"/>
        </w:rPr>
        <w:t xml:space="preserve">Specifically, in the observation of Fullerton and Metcalf (1997), the green and blue (double dividend) benefit assumption of environmental taxation is not likely practically generalized given the complex dynamism of the associated factors. </w:t>
      </w:r>
      <w:r w:rsidR="00E33BC6" w:rsidRPr="00A24964">
        <w:rPr>
          <w:rFonts w:ascii="Times New Roman" w:hAnsi="Times New Roman" w:cs="Times New Roman"/>
          <w:iCs/>
          <w:color w:val="FF0000"/>
          <w:sz w:val="24"/>
          <w:szCs w:val="24"/>
        </w:rPr>
        <w:t>Meanwhile, Goulder</w:t>
      </w:r>
      <w:r w:rsidR="00304C2F" w:rsidRPr="00A24964">
        <w:rPr>
          <w:rFonts w:ascii="Times New Roman" w:hAnsi="Times New Roman" w:cs="Times New Roman"/>
          <w:iCs/>
          <w:color w:val="FF0000"/>
          <w:sz w:val="24"/>
          <w:szCs w:val="24"/>
        </w:rPr>
        <w:t xml:space="preserve"> (1995)</w:t>
      </w:r>
      <w:r w:rsidR="00E33BC6" w:rsidRPr="00A24964">
        <w:rPr>
          <w:rFonts w:ascii="Times New Roman" w:hAnsi="Times New Roman" w:cs="Times New Roman"/>
          <w:iCs/>
          <w:color w:val="FF0000"/>
          <w:sz w:val="24"/>
          <w:szCs w:val="24"/>
        </w:rPr>
        <w:t xml:space="preserve"> had earlier motioned that the double dividend hypothesis could better be argued from strong and weak perspectives, such that the </w:t>
      </w:r>
      <w:r w:rsidR="00294ADA" w:rsidRPr="00A24964">
        <w:rPr>
          <w:rFonts w:ascii="Times New Roman" w:hAnsi="Times New Roman" w:cs="Times New Roman"/>
          <w:iCs/>
          <w:color w:val="FF0000"/>
          <w:sz w:val="24"/>
          <w:szCs w:val="24"/>
        </w:rPr>
        <w:t>latter</w:t>
      </w:r>
      <w:r w:rsidR="00E33BC6" w:rsidRPr="00A24964">
        <w:rPr>
          <w:rFonts w:ascii="Times New Roman" w:hAnsi="Times New Roman" w:cs="Times New Roman"/>
          <w:iCs/>
          <w:color w:val="FF0000"/>
          <w:sz w:val="24"/>
          <w:szCs w:val="24"/>
        </w:rPr>
        <w:t xml:space="preserve"> is adjudged </w:t>
      </w:r>
      <w:r w:rsidR="00294ADA" w:rsidRPr="00A24964">
        <w:rPr>
          <w:rFonts w:ascii="Times New Roman" w:hAnsi="Times New Roman" w:cs="Times New Roman"/>
          <w:iCs/>
          <w:color w:val="FF0000"/>
          <w:sz w:val="24"/>
          <w:szCs w:val="24"/>
        </w:rPr>
        <w:t xml:space="preserve">a more theoretically and empirically practicable claim. </w:t>
      </w:r>
      <w:r w:rsidR="00E14F1D" w:rsidRPr="00A24964">
        <w:rPr>
          <w:rFonts w:ascii="Times New Roman" w:hAnsi="Times New Roman" w:cs="Times New Roman"/>
          <w:iCs/>
          <w:color w:val="FF0000"/>
          <w:sz w:val="24"/>
          <w:szCs w:val="24"/>
        </w:rPr>
        <w:t xml:space="preserve">However, </w:t>
      </w:r>
      <w:r w:rsidR="00A24964" w:rsidRPr="00A24964">
        <w:rPr>
          <w:rFonts w:ascii="Times New Roman" w:hAnsi="Times New Roman" w:cs="Times New Roman"/>
          <w:iCs/>
          <w:color w:val="FF0000"/>
          <w:sz w:val="24"/>
          <w:szCs w:val="24"/>
        </w:rPr>
        <w:t xml:space="preserve">the above-mentioned studies among others in the literature have largely supported the claim that environmental taxation improves environmental quality. </w:t>
      </w:r>
      <w:r w:rsidR="00DF7D72" w:rsidRPr="00A24964">
        <w:rPr>
          <w:rFonts w:ascii="Times New Roman" w:hAnsi="Times New Roman" w:cs="Times New Roman"/>
          <w:iCs/>
          <w:color w:val="FF0000"/>
          <w:sz w:val="24"/>
          <w:szCs w:val="24"/>
        </w:rPr>
        <w:t xml:space="preserve">Following the </w:t>
      </w:r>
      <w:r w:rsidR="002A3F22" w:rsidRPr="00A24964">
        <w:rPr>
          <w:rFonts w:ascii="Times New Roman" w:hAnsi="Times New Roman" w:cs="Times New Roman"/>
          <w:iCs/>
          <w:color w:val="FF0000"/>
          <w:sz w:val="24"/>
          <w:szCs w:val="24"/>
        </w:rPr>
        <w:t>above-mentioned</w:t>
      </w:r>
      <w:r w:rsidR="00DF7D72" w:rsidRPr="00A24964">
        <w:rPr>
          <w:rFonts w:ascii="Times New Roman" w:hAnsi="Times New Roman" w:cs="Times New Roman"/>
          <w:iCs/>
          <w:color w:val="FF0000"/>
          <w:sz w:val="24"/>
          <w:szCs w:val="24"/>
        </w:rPr>
        <w:t xml:space="preserve"> pioneering investigation, economic and environmental impacts of the different aspects of environmental taxation such as pollution tax, energy tax, resource tax, and transportation tax have emerged in several studies (Elliott &amp; Fullerton, 2014; </w:t>
      </w:r>
      <w:r w:rsidR="00DF7D72" w:rsidRPr="00A24964">
        <w:rPr>
          <w:rFonts w:ascii="Times New Roman" w:hAnsi="Times New Roman" w:cs="Times New Roman"/>
          <w:iCs/>
          <w:color w:val="FF0000"/>
          <w:sz w:val="24"/>
          <w:szCs w:val="24"/>
        </w:rPr>
        <w:lastRenderedPageBreak/>
        <w:t>Dissou &amp; Karnizova, 2016; Dong et al 2017</w:t>
      </w:r>
      <w:r w:rsidR="00DF7D72" w:rsidRPr="00A24964">
        <w:rPr>
          <w:rFonts w:ascii="Times New Roman" w:hAnsi="Times New Roman" w:cs="Times New Roman"/>
          <w:color w:val="FF0000"/>
          <w:sz w:val="24"/>
          <w:szCs w:val="24"/>
        </w:rPr>
        <w:t xml:space="preserve">; Paredes &amp; Rivera, 2017; </w:t>
      </w:r>
      <w:r w:rsidR="00DF7D72" w:rsidRPr="00A24964">
        <w:rPr>
          <w:rFonts w:ascii="Times New Roman" w:hAnsi="Times New Roman" w:cs="Times New Roman"/>
          <w:iCs/>
          <w:color w:val="FF0000"/>
          <w:sz w:val="24"/>
          <w:szCs w:val="24"/>
        </w:rPr>
        <w:t>Alola &amp; Nwulu, 2022</w:t>
      </w:r>
      <w:r w:rsidR="00DF7D72" w:rsidRPr="00A24964">
        <w:rPr>
          <w:rFonts w:ascii="Times New Roman" w:hAnsi="Times New Roman" w:cs="Times New Roman"/>
          <w:color w:val="FF0000"/>
          <w:sz w:val="24"/>
          <w:szCs w:val="24"/>
        </w:rPr>
        <w:t xml:space="preserve">; </w:t>
      </w:r>
      <w:r w:rsidR="00DF7D72" w:rsidRPr="00A24964">
        <w:rPr>
          <w:rFonts w:ascii="Times New Roman" w:hAnsi="Times New Roman" w:cs="Times New Roman"/>
          <w:iCs/>
          <w:color w:val="FF0000"/>
          <w:sz w:val="24"/>
          <w:szCs w:val="24"/>
        </w:rPr>
        <w:t>Wolde-Rufael &amp; Mulat-weldemeskel, 2022).</w:t>
      </w:r>
    </w:p>
    <w:p w14:paraId="19E95953" w14:textId="77777777" w:rsidR="000C3BDB" w:rsidRPr="000C3BDB" w:rsidRDefault="00DF7D72" w:rsidP="000C3BDB">
      <w:pPr>
        <w:spacing w:before="240" w:after="0" w:line="276" w:lineRule="auto"/>
        <w:jc w:val="both"/>
        <w:rPr>
          <w:rFonts w:ascii="Times New Roman" w:hAnsi="Times New Roman" w:cs="Times New Roman"/>
          <w:b/>
          <w:bCs/>
          <w:i/>
          <w:sz w:val="24"/>
          <w:szCs w:val="24"/>
        </w:rPr>
      </w:pPr>
      <w:r w:rsidRPr="000C3BDB">
        <w:rPr>
          <w:rFonts w:ascii="Times New Roman" w:hAnsi="Times New Roman" w:cs="Times New Roman"/>
          <w:b/>
          <w:bCs/>
          <w:i/>
          <w:sz w:val="24"/>
          <w:szCs w:val="24"/>
        </w:rPr>
        <w:t>2.1 Preceding studies: environmental-related tax and tourism</w:t>
      </w:r>
    </w:p>
    <w:p w14:paraId="28149780" w14:textId="42E95B0A" w:rsidR="000C3BDB" w:rsidRPr="000C3BDB" w:rsidRDefault="00DF7D72" w:rsidP="000C3BDB">
      <w:pPr>
        <w:spacing w:after="0" w:line="276" w:lineRule="auto"/>
        <w:jc w:val="both"/>
        <w:rPr>
          <w:rFonts w:ascii="Times New Roman" w:hAnsi="Times New Roman" w:cs="Times New Roman"/>
          <w:iCs/>
          <w:sz w:val="24"/>
          <w:szCs w:val="24"/>
        </w:rPr>
      </w:pPr>
      <w:r w:rsidRPr="000C3BDB">
        <w:rPr>
          <w:rFonts w:ascii="Times New Roman" w:hAnsi="Times New Roman" w:cs="Times New Roman"/>
          <w:iCs/>
          <w:sz w:val="24"/>
          <w:szCs w:val="24"/>
        </w:rPr>
        <w:t xml:space="preserve">Given that the tourism industry constitutes a significant part of the economy, especially in several tourism destinations, several studies have been dedicated to the illustration of the significant association between tourism-related aspects and environmental taxation (Palmer &amp; Riera, 2003; Tol, 2007; Dwyer et al 2012, 2013; González &amp; Hosoda, 2016; Meng &amp; Pham, 2017; Cao et al; 2021). For instance, the impact of the Australian carbon taxation policy (introduced on 01 July 2012) on the country's tourism industry was examined in the studies of Dwyer et al (2012 &amp; 2013), and Meng and Pham (2017).  By applying the dynamic computable general equilibrium (CGE) </w:t>
      </w:r>
      <w:r w:rsidR="002A3F22" w:rsidRPr="000C3BDB">
        <w:rPr>
          <w:rFonts w:ascii="Times New Roman" w:hAnsi="Times New Roman" w:cs="Times New Roman"/>
          <w:iCs/>
          <w:sz w:val="24"/>
          <w:szCs w:val="24"/>
        </w:rPr>
        <w:t>modelling</w:t>
      </w:r>
      <w:r w:rsidRPr="000C3BDB">
        <w:rPr>
          <w:rFonts w:ascii="Times New Roman" w:hAnsi="Times New Roman" w:cs="Times New Roman"/>
          <w:iCs/>
          <w:sz w:val="24"/>
          <w:szCs w:val="24"/>
        </w:rPr>
        <w:t xml:space="preserve">, Dwyer's peer studies found that the introduction of a carbon tax in Australia yielded benefits to several tourism activities in the country while causing some macroeconomic contractions that include reductions in employment and the country's growth in the real gross domestic product arising from the decline in consumption. Meanwhile, by considering 42 commodities (including 2 tourism-related sectors) and 42 sectors, </w:t>
      </w:r>
      <w:proofErr w:type="gramStart"/>
      <w:r w:rsidRPr="000C3BDB">
        <w:rPr>
          <w:rFonts w:ascii="Times New Roman" w:hAnsi="Times New Roman" w:cs="Times New Roman"/>
          <w:iCs/>
          <w:sz w:val="24"/>
          <w:szCs w:val="24"/>
        </w:rPr>
        <w:t>Meng</w:t>
      </w:r>
      <w:proofErr w:type="gramEnd"/>
      <w:r w:rsidRPr="000C3BDB">
        <w:rPr>
          <w:rFonts w:ascii="Times New Roman" w:hAnsi="Times New Roman" w:cs="Times New Roman"/>
          <w:iCs/>
          <w:sz w:val="24"/>
          <w:szCs w:val="24"/>
        </w:rPr>
        <w:t xml:space="preserve"> and Pham (2017) combined the environmentally extended social accounting matrix approach with CGE to further reveal the tourism effect of environmental-related tax on the Australian tourism industry. Specifically, Meng and Pham (2017) hint that Australia's carbon tax of US$23 per tonne yields a significant emission reduction but not without causing some economic constraints such as a decline in real tourism expenditure</w:t>
      </w:r>
      <w:r w:rsidRPr="000C3BDB">
        <w:rPr>
          <w:sz w:val="24"/>
          <w:szCs w:val="24"/>
        </w:rPr>
        <w:t xml:space="preserve">, </w:t>
      </w:r>
      <w:r w:rsidRPr="000C3BDB">
        <w:rPr>
          <w:rFonts w:ascii="Times New Roman" w:hAnsi="Times New Roman" w:cs="Times New Roman"/>
          <w:iCs/>
          <w:sz w:val="24"/>
          <w:szCs w:val="24"/>
        </w:rPr>
        <w:t>especially from the inbound and domestic tourism demand.</w:t>
      </w:r>
    </w:p>
    <w:p w14:paraId="3904D4E1" w14:textId="2FA0C475" w:rsidR="000C3BDB" w:rsidRPr="000C3BDB" w:rsidRDefault="00DF7D72" w:rsidP="000C3BDB">
      <w:pPr>
        <w:spacing w:before="240" w:after="0" w:line="276" w:lineRule="auto"/>
        <w:jc w:val="both"/>
        <w:rPr>
          <w:rFonts w:ascii="Times New Roman" w:hAnsi="Times New Roman" w:cs="Times New Roman"/>
          <w:iCs/>
          <w:sz w:val="24"/>
          <w:szCs w:val="24"/>
        </w:rPr>
      </w:pPr>
      <w:r w:rsidRPr="000C3BDB">
        <w:rPr>
          <w:rFonts w:ascii="Times New Roman" w:hAnsi="Times New Roman" w:cs="Times New Roman"/>
          <w:iCs/>
          <w:sz w:val="24"/>
          <w:szCs w:val="24"/>
        </w:rPr>
        <w:t xml:space="preserve">Moreover, </w:t>
      </w:r>
      <w:r w:rsidR="00130DEB" w:rsidRPr="00130DEB">
        <w:rPr>
          <w:rFonts w:ascii="Times New Roman" w:hAnsi="Times New Roman" w:cs="Times New Roman"/>
          <w:iCs/>
          <w:color w:val="FF0000"/>
          <w:sz w:val="24"/>
          <w:szCs w:val="24"/>
        </w:rPr>
        <w:t>the</w:t>
      </w:r>
      <w:r w:rsidR="00130DEB">
        <w:rPr>
          <w:rFonts w:ascii="Times New Roman" w:hAnsi="Times New Roman" w:cs="Times New Roman"/>
          <w:iCs/>
          <w:sz w:val="24"/>
          <w:szCs w:val="24"/>
        </w:rPr>
        <w:t xml:space="preserve"> </w:t>
      </w:r>
      <w:r w:rsidRPr="000C3BDB">
        <w:rPr>
          <w:rFonts w:ascii="Times New Roman" w:hAnsi="Times New Roman" w:cs="Times New Roman"/>
          <w:iCs/>
          <w:sz w:val="24"/>
          <w:szCs w:val="24"/>
        </w:rPr>
        <w:t xml:space="preserve">global and Japanese perspectives </w:t>
      </w:r>
      <w:r w:rsidR="00130DEB" w:rsidRPr="00130DEB">
        <w:rPr>
          <w:rFonts w:ascii="Times New Roman" w:hAnsi="Times New Roman" w:cs="Times New Roman"/>
          <w:iCs/>
          <w:color w:val="FF0000"/>
          <w:sz w:val="24"/>
          <w:szCs w:val="24"/>
        </w:rPr>
        <w:t>of</w:t>
      </w:r>
      <w:r w:rsidRPr="000C3BDB">
        <w:rPr>
          <w:rFonts w:ascii="Times New Roman" w:hAnsi="Times New Roman" w:cs="Times New Roman"/>
          <w:iCs/>
          <w:sz w:val="24"/>
          <w:szCs w:val="24"/>
        </w:rPr>
        <w:t xml:space="preserve"> the effect of environment-related taxation on tourism industry activities were respectively examined by Tol (2007), and González and Hosoda (2016). On the part of </w:t>
      </w:r>
      <w:bookmarkStart w:id="1" w:name="_Hlk110809620"/>
      <w:r w:rsidRPr="000C3BDB">
        <w:rPr>
          <w:rFonts w:ascii="Times New Roman" w:hAnsi="Times New Roman" w:cs="Times New Roman"/>
          <w:iCs/>
          <w:sz w:val="24"/>
          <w:szCs w:val="24"/>
        </w:rPr>
        <w:t xml:space="preserve">Tol (2007), </w:t>
      </w:r>
      <w:bookmarkEnd w:id="1"/>
      <w:r w:rsidRPr="000C3BDB">
        <w:rPr>
          <w:rFonts w:ascii="Times New Roman" w:hAnsi="Times New Roman" w:cs="Times New Roman"/>
          <w:iCs/>
          <w:sz w:val="24"/>
          <w:szCs w:val="24"/>
        </w:rPr>
        <w:t>the international tourist flow is being</w:t>
      </w:r>
      <w:r w:rsidR="00635E12">
        <w:rPr>
          <w:rFonts w:ascii="Times New Roman" w:hAnsi="Times New Roman" w:cs="Times New Roman"/>
          <w:iCs/>
          <w:sz w:val="24"/>
          <w:szCs w:val="24"/>
        </w:rPr>
        <w:t xml:space="preserve"> simulated to examine the extent</w:t>
      </w:r>
      <w:r w:rsidRPr="000C3BDB">
        <w:rPr>
          <w:rFonts w:ascii="Times New Roman" w:hAnsi="Times New Roman" w:cs="Times New Roman"/>
          <w:iCs/>
          <w:sz w:val="24"/>
          <w:szCs w:val="24"/>
        </w:rPr>
        <w:t xml:space="preserve"> to which carbon taxation on aviation fuel influences travel behaviour in selected countries across the world. The study revealed that $1000 per tonne of global carbon tax reduced international aviation emissions by 0.8 percent due to its impact on the behaviour of all </w:t>
      </w:r>
      <w:r w:rsidR="00130DEB" w:rsidRPr="000C3BDB">
        <w:rPr>
          <w:rFonts w:ascii="Times New Roman" w:hAnsi="Times New Roman" w:cs="Times New Roman"/>
          <w:iCs/>
          <w:sz w:val="24"/>
          <w:szCs w:val="24"/>
        </w:rPr>
        <w:t>travellers</w:t>
      </w:r>
      <w:r w:rsidRPr="000C3BDB">
        <w:rPr>
          <w:rFonts w:ascii="Times New Roman" w:hAnsi="Times New Roman" w:cs="Times New Roman"/>
          <w:iCs/>
          <w:sz w:val="24"/>
          <w:szCs w:val="24"/>
        </w:rPr>
        <w:t xml:space="preserve">/tourists. Both international/long-haul travels and domestic/short-haul travels that respectively generate high emissions during flights and take-off or landing are affected by the tax on aviation fuel. Thus, the study further revealed a potential decline in short-haul and international travel while medium-distance flights such as aviation tourism within the European Union member countries could see a rise or be unaffected by a tax on aviation fuel. Meanwhile, González and Hosoda (2016) examined the effect of aviation fuel tax in Japan i.e the koukuukinenryouzei on emissions from the country's flight operation. By using the Bayesian structural model for the time series estimation of the monthly dataset over the period 2004-2013, the study established that the koukuukinenryouzei had played a significant role in reducing carbon dioxide emissions from the country’s aircraft operations. </w:t>
      </w:r>
    </w:p>
    <w:p w14:paraId="09678B3E" w14:textId="77777777" w:rsidR="000C3BDB" w:rsidRPr="000C3BDB" w:rsidRDefault="00DF7D72" w:rsidP="000C3BDB">
      <w:pPr>
        <w:spacing w:before="240" w:after="0" w:line="276" w:lineRule="auto"/>
        <w:jc w:val="both"/>
        <w:rPr>
          <w:rFonts w:ascii="Times New Roman" w:hAnsi="Times New Roman" w:cs="Times New Roman"/>
          <w:b/>
          <w:bCs/>
          <w:i/>
          <w:sz w:val="24"/>
          <w:szCs w:val="24"/>
        </w:rPr>
      </w:pPr>
      <w:r w:rsidRPr="000C3BDB">
        <w:rPr>
          <w:rFonts w:ascii="Times New Roman" w:hAnsi="Times New Roman" w:cs="Times New Roman"/>
          <w:b/>
          <w:bCs/>
          <w:i/>
          <w:sz w:val="24"/>
          <w:szCs w:val="24"/>
        </w:rPr>
        <w:t>2.1 Preceding studies: environmental performance and tourism</w:t>
      </w:r>
    </w:p>
    <w:p w14:paraId="64557248" w14:textId="77777777" w:rsidR="000C3BDB" w:rsidRPr="000C3BDB" w:rsidRDefault="00DF7D72" w:rsidP="000C3BDB">
      <w:pPr>
        <w:spacing w:after="0" w:line="276" w:lineRule="auto"/>
        <w:jc w:val="both"/>
        <w:rPr>
          <w:rFonts w:ascii="Times New Roman" w:hAnsi="Times New Roman" w:cs="Times New Roman"/>
          <w:sz w:val="24"/>
          <w:szCs w:val="24"/>
        </w:rPr>
      </w:pPr>
      <w:r w:rsidRPr="000C3BDB">
        <w:rPr>
          <w:rFonts w:ascii="Times New Roman" w:hAnsi="Times New Roman" w:cs="Times New Roman"/>
          <w:iCs/>
          <w:sz w:val="24"/>
          <w:szCs w:val="24"/>
        </w:rPr>
        <w:t xml:space="preserve">Previous studies reveal evidence of the impact of environmental performance on tourism activities and vice versa. For instance, Usman et al (2020) explored the dataset of the 28 EU countries over the time 2002–2014 to examine the role of tourism development, economic </w:t>
      </w:r>
      <w:r w:rsidRPr="000C3BDB">
        <w:rPr>
          <w:rFonts w:ascii="Times New Roman" w:hAnsi="Times New Roman" w:cs="Times New Roman"/>
          <w:iCs/>
          <w:sz w:val="24"/>
          <w:szCs w:val="24"/>
        </w:rPr>
        <w:lastRenderedPageBreak/>
        <w:t xml:space="preserve">growth, and institutional quality on environmental performance in the region.  By using </w:t>
      </w:r>
      <w:r w:rsidRPr="000C3BDB">
        <w:rPr>
          <w:rFonts w:ascii="Times New Roman" w:hAnsi="Times New Roman" w:cs="Times New Roman"/>
          <w:sz w:val="24"/>
          <w:szCs w:val="24"/>
        </w:rPr>
        <w:t xml:space="preserve">the dynamic panel data estimation technique, the study found that environmental performance limits the development of the tourism industry and the economy at large while tourism development and economic growth also reduce the performance of environmental quality. In a similar but different methodological approach, </w:t>
      </w:r>
      <w:proofErr w:type="gramStart"/>
      <w:r w:rsidRPr="000C3BDB">
        <w:rPr>
          <w:rFonts w:ascii="Times New Roman" w:hAnsi="Times New Roman" w:cs="Times New Roman"/>
          <w:sz w:val="24"/>
          <w:szCs w:val="24"/>
        </w:rPr>
        <w:t>Erdogan</w:t>
      </w:r>
      <w:proofErr w:type="gramEnd"/>
      <w:r w:rsidRPr="000C3BDB">
        <w:rPr>
          <w:rFonts w:ascii="Times New Roman" w:hAnsi="Times New Roman" w:cs="Times New Roman"/>
          <w:sz w:val="24"/>
          <w:szCs w:val="24"/>
        </w:rPr>
        <w:t xml:space="preserve"> and Tosun (2009) used 73 survey questionnaires from accommodation managers in Goreme Historical National Park to examine 39 environmental indicators. Interestingly, the result shows low environmental performance through several indicators arising from the activities of tourism accommodations. Specifically, the indicators of environmental performance affected by the industry's accommodation section include energy efficiency, environmental training, water conservation and management, environmental awareness, and the aspects of environmental protection and policy.</w:t>
      </w:r>
    </w:p>
    <w:p w14:paraId="3D0E2D2A" w14:textId="42D5CF47" w:rsidR="000C3BDB" w:rsidRDefault="00DF7D72" w:rsidP="000C3BDB">
      <w:pPr>
        <w:spacing w:before="240" w:after="0" w:line="276" w:lineRule="auto"/>
        <w:jc w:val="both"/>
        <w:rPr>
          <w:rFonts w:ascii="Times New Roman" w:hAnsi="Times New Roman" w:cs="Times New Roman"/>
          <w:iCs/>
          <w:sz w:val="24"/>
          <w:szCs w:val="24"/>
        </w:rPr>
      </w:pPr>
      <w:r w:rsidRPr="000C3BDB">
        <w:rPr>
          <w:rFonts w:ascii="Times New Roman" w:hAnsi="Times New Roman" w:cs="Times New Roman"/>
          <w:iCs/>
          <w:sz w:val="24"/>
          <w:szCs w:val="24"/>
        </w:rPr>
        <w:t xml:space="preserve">More so, by examining the impact of environmental performance on travel- and tourism-related industries, Tan et al (2017) considered 811 firms across the casino industry (223), hotel industry (142), restaurant industry (235), and the airline industry (211) while the environmental performances are measured by emission reduction, product innovation, and resource reduction. The study adopted a dataset over the period 2003-2014 for different economic regions and explored to see whether environmental performances in the </w:t>
      </w:r>
      <w:r w:rsidR="002A3F22" w:rsidRPr="002A3F22">
        <w:rPr>
          <w:rFonts w:ascii="Times New Roman" w:hAnsi="Times New Roman" w:cs="Times New Roman"/>
          <w:iCs/>
          <w:color w:val="FF0000"/>
          <w:sz w:val="24"/>
          <w:szCs w:val="24"/>
        </w:rPr>
        <w:t>above-</w:t>
      </w:r>
      <w:r w:rsidRPr="002A3F22">
        <w:rPr>
          <w:rFonts w:ascii="Times New Roman" w:hAnsi="Times New Roman" w:cs="Times New Roman"/>
          <w:iCs/>
          <w:color w:val="FF0000"/>
          <w:sz w:val="24"/>
          <w:szCs w:val="24"/>
        </w:rPr>
        <w:t xml:space="preserve">mentioned </w:t>
      </w:r>
      <w:r w:rsidRPr="000C3BDB">
        <w:rPr>
          <w:rFonts w:ascii="Times New Roman" w:hAnsi="Times New Roman" w:cs="Times New Roman"/>
          <w:iCs/>
          <w:sz w:val="24"/>
          <w:szCs w:val="24"/>
        </w:rPr>
        <w:t xml:space="preserve">firms affect the financial performance (a proxy for tourism development) of the </w:t>
      </w:r>
      <w:r w:rsidR="002A3F22" w:rsidRPr="002A3F22">
        <w:rPr>
          <w:rFonts w:ascii="Times New Roman" w:hAnsi="Times New Roman" w:cs="Times New Roman"/>
          <w:iCs/>
          <w:color w:val="FF0000"/>
          <w:sz w:val="24"/>
          <w:szCs w:val="24"/>
        </w:rPr>
        <w:t>firms</w:t>
      </w:r>
      <w:r w:rsidRPr="000C3BDB">
        <w:rPr>
          <w:rFonts w:ascii="Times New Roman" w:hAnsi="Times New Roman" w:cs="Times New Roman"/>
          <w:iCs/>
          <w:sz w:val="24"/>
          <w:szCs w:val="24"/>
        </w:rPr>
        <w:t>. Importantly, financial performance in the hotel industry is found to be positively influenced only by the aggregate dimension of environmental performance. But, for the aspects of environmental performance, the following observations ensued: resource reduction positively influenced the hotel industry's</w:t>
      </w:r>
      <w:r w:rsidRPr="000C3BDB">
        <w:rPr>
          <w:sz w:val="24"/>
          <w:szCs w:val="24"/>
        </w:rPr>
        <w:t xml:space="preserve"> </w:t>
      </w:r>
      <w:r w:rsidRPr="000C3BDB">
        <w:rPr>
          <w:rFonts w:ascii="Times New Roman" w:hAnsi="Times New Roman" w:cs="Times New Roman"/>
          <w:iCs/>
          <w:sz w:val="24"/>
          <w:szCs w:val="24"/>
        </w:rPr>
        <w:t>financial performance but is detrimental to the airline industry’s financial performance; product innovation desirably influenced the restaurant industry’s financial performance; the airline industry is notably marked with trade-off effect. Moreover, in the travel- and tourism-related firms, the nexus between the dimensions of both financial and environmental performances are moderated by</w:t>
      </w:r>
      <w:r w:rsidRPr="000C3BDB">
        <w:rPr>
          <w:sz w:val="24"/>
          <w:szCs w:val="24"/>
        </w:rPr>
        <w:t xml:space="preserve"> </w:t>
      </w:r>
      <w:r w:rsidRPr="000C3BDB">
        <w:rPr>
          <w:rFonts w:ascii="Times New Roman" w:hAnsi="Times New Roman" w:cs="Times New Roman"/>
          <w:iCs/>
          <w:sz w:val="24"/>
          <w:szCs w:val="24"/>
        </w:rPr>
        <w:t>slack resources, thus the validity of the slack resource hypothesis.</w:t>
      </w:r>
    </w:p>
    <w:p w14:paraId="44DFDF9B" w14:textId="2CBF0196" w:rsidR="0086714A" w:rsidRPr="00672476" w:rsidRDefault="005A4ACC" w:rsidP="000C3BDB">
      <w:pPr>
        <w:spacing w:before="240" w:after="0" w:line="276" w:lineRule="auto"/>
        <w:jc w:val="both"/>
        <w:rPr>
          <w:rFonts w:ascii="Times New Roman" w:hAnsi="Times New Roman" w:cs="Times New Roman"/>
          <w:iCs/>
          <w:color w:val="FF0000"/>
          <w:sz w:val="24"/>
          <w:szCs w:val="24"/>
        </w:rPr>
      </w:pPr>
      <w:r>
        <w:rPr>
          <w:rFonts w:ascii="Times New Roman" w:hAnsi="Times New Roman" w:cs="Times New Roman"/>
          <w:iCs/>
          <w:color w:val="FF0000"/>
          <w:sz w:val="24"/>
          <w:szCs w:val="24"/>
        </w:rPr>
        <w:t xml:space="preserve">Currently, there is increasing body of knowledge on environmental taxation because of the global awakening to climate change challenges. </w:t>
      </w:r>
      <w:r w:rsidR="003B37FB" w:rsidRPr="001C7FD2">
        <w:rPr>
          <w:rFonts w:ascii="Times New Roman" w:hAnsi="Times New Roman" w:cs="Times New Roman"/>
          <w:iCs/>
          <w:color w:val="FF0000"/>
          <w:sz w:val="24"/>
          <w:szCs w:val="24"/>
        </w:rPr>
        <w:t xml:space="preserve">Given the bulk of literature available, which mainly </w:t>
      </w:r>
      <w:r w:rsidR="003B37FB" w:rsidRPr="00672476">
        <w:rPr>
          <w:rFonts w:ascii="Times New Roman" w:hAnsi="Times New Roman" w:cs="Times New Roman"/>
          <w:iCs/>
          <w:color w:val="FF0000"/>
          <w:sz w:val="24"/>
          <w:szCs w:val="24"/>
        </w:rPr>
        <w:t xml:space="preserve">focused on the effectiveness of environmental taxes in mitigating environmental pollution, there is paucity of studies on the indirect impact of environmental taxes. </w:t>
      </w:r>
      <w:r w:rsidRPr="00672476">
        <w:rPr>
          <w:rFonts w:ascii="Times New Roman" w:hAnsi="Times New Roman" w:cs="Times New Roman"/>
          <w:iCs/>
          <w:color w:val="FF0000"/>
          <w:sz w:val="24"/>
          <w:szCs w:val="24"/>
        </w:rPr>
        <w:t>Specifically</w:t>
      </w:r>
      <w:r w:rsidR="0086714A" w:rsidRPr="00672476">
        <w:rPr>
          <w:rFonts w:ascii="Times New Roman" w:hAnsi="Times New Roman" w:cs="Times New Roman"/>
          <w:iCs/>
          <w:color w:val="FF0000"/>
          <w:sz w:val="24"/>
          <w:szCs w:val="24"/>
        </w:rPr>
        <w:t xml:space="preserve">, to contribute to the existing literature, this paper evaluates the relationship </w:t>
      </w:r>
      <w:r w:rsidRPr="00672476">
        <w:rPr>
          <w:rFonts w:ascii="Times New Roman" w:hAnsi="Times New Roman" w:cs="Times New Roman"/>
          <w:iCs/>
          <w:color w:val="FF0000"/>
          <w:sz w:val="24"/>
          <w:szCs w:val="24"/>
        </w:rPr>
        <w:t xml:space="preserve">between </w:t>
      </w:r>
      <w:r w:rsidR="0086714A" w:rsidRPr="00672476">
        <w:rPr>
          <w:rFonts w:ascii="Times New Roman" w:hAnsi="Times New Roman" w:cs="Times New Roman"/>
          <w:iCs/>
          <w:color w:val="FF0000"/>
          <w:sz w:val="24"/>
          <w:szCs w:val="24"/>
        </w:rPr>
        <w:t>international tourism receipts and environmental performance at different levels of environmental taxes.</w:t>
      </w:r>
      <w:r w:rsidR="00672476" w:rsidRPr="00672476">
        <w:rPr>
          <w:rFonts w:ascii="Times New Roman" w:hAnsi="Times New Roman" w:cs="Times New Roman"/>
          <w:iCs/>
          <w:color w:val="FF0000"/>
          <w:sz w:val="24"/>
          <w:szCs w:val="24"/>
        </w:rPr>
        <w:t xml:space="preserve"> Thus</w:t>
      </w:r>
      <w:r w:rsidR="00672476">
        <w:rPr>
          <w:rFonts w:ascii="Times New Roman" w:hAnsi="Times New Roman" w:cs="Times New Roman"/>
          <w:iCs/>
          <w:color w:val="FF0000"/>
          <w:sz w:val="24"/>
          <w:szCs w:val="24"/>
        </w:rPr>
        <w:t xml:space="preserve">, the direct role of tourism development on environmental performance and its indirect effect as moderated by environmental taxation are examined in a rare </w:t>
      </w:r>
      <w:r w:rsidR="00672476" w:rsidRPr="00672476">
        <w:rPr>
          <w:rFonts w:ascii="Times New Roman" w:hAnsi="Times New Roman" w:cs="Times New Roman"/>
          <w:iCs/>
          <w:color w:val="FF0000"/>
          <w:sz w:val="24"/>
          <w:szCs w:val="24"/>
        </w:rPr>
        <w:t>approach</w:t>
      </w:r>
      <w:r w:rsidR="00672476">
        <w:rPr>
          <w:rFonts w:ascii="Times New Roman" w:hAnsi="Times New Roman" w:cs="Times New Roman"/>
          <w:iCs/>
          <w:color w:val="FF0000"/>
          <w:sz w:val="24"/>
          <w:szCs w:val="24"/>
        </w:rPr>
        <w:t xml:space="preserve">.  </w:t>
      </w:r>
    </w:p>
    <w:p w14:paraId="0D2D4E63" w14:textId="6C9FF711" w:rsidR="00046E0A" w:rsidRDefault="00DF7D72" w:rsidP="002A3F22">
      <w:pPr>
        <w:autoSpaceDE w:val="0"/>
        <w:autoSpaceDN w:val="0"/>
        <w:adjustRightInd w:val="0"/>
        <w:spacing w:before="240" w:after="0" w:line="240" w:lineRule="auto"/>
        <w:rPr>
          <w:rFonts w:ascii="Times New Roman" w:hAnsi="Times New Roman" w:cs="Times New Roman"/>
          <w:b/>
          <w:sz w:val="28"/>
          <w:szCs w:val="28"/>
        </w:rPr>
      </w:pPr>
      <w:r>
        <w:rPr>
          <w:rFonts w:ascii="Times New Roman" w:hAnsi="Times New Roman" w:cs="Times New Roman"/>
          <w:b/>
          <w:sz w:val="28"/>
          <w:szCs w:val="28"/>
        </w:rPr>
        <w:t>3</w:t>
      </w:r>
      <w:r w:rsidR="00677811" w:rsidRPr="00C9758E">
        <w:rPr>
          <w:rFonts w:ascii="Times New Roman" w:hAnsi="Times New Roman" w:cs="Times New Roman"/>
          <w:b/>
          <w:sz w:val="28"/>
          <w:szCs w:val="28"/>
        </w:rPr>
        <w:t>.</w:t>
      </w:r>
      <w:r w:rsidR="00B30A24">
        <w:rPr>
          <w:rFonts w:ascii="Times New Roman" w:hAnsi="Times New Roman" w:cs="Times New Roman"/>
          <w:b/>
          <w:sz w:val="28"/>
          <w:szCs w:val="28"/>
        </w:rPr>
        <w:t xml:space="preserve"> Data and </w:t>
      </w:r>
      <w:r>
        <w:rPr>
          <w:rFonts w:ascii="Times New Roman" w:hAnsi="Times New Roman" w:cs="Times New Roman"/>
          <w:b/>
          <w:sz w:val="28"/>
          <w:szCs w:val="28"/>
        </w:rPr>
        <w:t>Methodology</w:t>
      </w:r>
    </w:p>
    <w:p w14:paraId="08C4D668" w14:textId="4FD64B46" w:rsidR="00E924B3" w:rsidRPr="00046E0A" w:rsidRDefault="00DF7D72" w:rsidP="00BE06F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Pr="00046E0A">
        <w:rPr>
          <w:rFonts w:ascii="Times New Roman" w:hAnsi="Times New Roman" w:cs="Times New Roman"/>
          <w:b/>
          <w:sz w:val="24"/>
          <w:szCs w:val="24"/>
        </w:rPr>
        <w:t xml:space="preserve">.1 </w:t>
      </w:r>
      <w:r>
        <w:rPr>
          <w:rFonts w:ascii="Times New Roman" w:hAnsi="Times New Roman" w:cs="Times New Roman"/>
          <w:b/>
          <w:sz w:val="24"/>
          <w:szCs w:val="24"/>
        </w:rPr>
        <w:t>Data</w:t>
      </w:r>
    </w:p>
    <w:p w14:paraId="054D25B2" w14:textId="186C972D" w:rsidR="00B30A24" w:rsidRDefault="00DF7D72" w:rsidP="002A3F22">
      <w:pPr>
        <w:autoSpaceDE w:val="0"/>
        <w:autoSpaceDN w:val="0"/>
        <w:adjustRightInd w:val="0"/>
        <w:spacing w:after="0" w:line="276" w:lineRule="auto"/>
        <w:jc w:val="both"/>
        <w:rPr>
          <w:rFonts w:ascii="Times New Roman" w:hAnsi="Times New Roman" w:cs="Times New Roman"/>
          <w:sz w:val="24"/>
          <w:szCs w:val="24"/>
        </w:rPr>
      </w:pPr>
      <w:r w:rsidRPr="00671E3B">
        <w:rPr>
          <w:rFonts w:ascii="Times New Roman" w:hAnsi="Times New Roman" w:cs="Times New Roman"/>
          <w:sz w:val="24"/>
          <w:szCs w:val="24"/>
        </w:rPr>
        <w:t>The study uses panel data based on 28 countries in Europe (EU-28) over the period 2002 to 2019. The dependent variable is the environmental performance index obtained from calculated based on 2 broad environment policy objectives, 10 environment issue categories, and 24 environment indicators.</w:t>
      </w:r>
      <w:r w:rsidR="00793482" w:rsidRPr="00671E3B">
        <w:rPr>
          <w:rFonts w:ascii="Times New Roman" w:hAnsi="Times New Roman" w:cs="Times New Roman"/>
          <w:sz w:val="24"/>
          <w:szCs w:val="24"/>
        </w:rPr>
        <w:t xml:space="preserve"> This data is obtained from the socioeconomic data and application </w:t>
      </w:r>
      <w:proofErr w:type="spellStart"/>
      <w:r w:rsidR="00793482" w:rsidRPr="00671E3B">
        <w:rPr>
          <w:rFonts w:ascii="Times New Roman" w:hAnsi="Times New Roman" w:cs="Times New Roman"/>
          <w:sz w:val="24"/>
          <w:szCs w:val="24"/>
        </w:rPr>
        <w:lastRenderedPageBreak/>
        <w:t>center</w:t>
      </w:r>
      <w:proofErr w:type="spellEnd"/>
      <w:r w:rsidR="00793482" w:rsidRPr="00671E3B">
        <w:rPr>
          <w:rFonts w:ascii="Times New Roman" w:hAnsi="Times New Roman" w:cs="Times New Roman"/>
          <w:sz w:val="24"/>
          <w:szCs w:val="24"/>
        </w:rPr>
        <w:t xml:space="preserve"> (SEDAC)</w:t>
      </w:r>
      <w:r w:rsidR="0004264C" w:rsidRPr="00671E3B">
        <w:rPr>
          <w:rFonts w:ascii="Times New Roman" w:hAnsi="Times New Roman" w:cs="Times New Roman"/>
          <w:sz w:val="24"/>
          <w:szCs w:val="24"/>
        </w:rPr>
        <w:t xml:space="preserve"> (See link </w:t>
      </w:r>
      <w:hyperlink r:id="rId9" w:history="1">
        <w:r w:rsidR="0004264C" w:rsidRPr="00671E3B">
          <w:rPr>
            <w:rStyle w:val="Hyperkobling"/>
            <w:rFonts w:ascii="Times New Roman" w:hAnsi="Times New Roman" w:cs="Times New Roman"/>
            <w:sz w:val="24"/>
            <w:szCs w:val="24"/>
          </w:rPr>
          <w:t>http://www.ciesin.columbia.edu/indicators/ESI/</w:t>
        </w:r>
      </w:hyperlink>
      <w:r w:rsidR="00671E3B">
        <w:rPr>
          <w:rFonts w:ascii="Times New Roman" w:hAnsi="Times New Roman" w:cs="Times New Roman"/>
          <w:sz w:val="24"/>
          <w:szCs w:val="24"/>
        </w:rPr>
        <w:t>). The</w:t>
      </w:r>
      <w:r w:rsidR="00671E3B" w:rsidRPr="00671E3B">
        <w:rPr>
          <w:rFonts w:ascii="Times New Roman" w:hAnsi="Times New Roman" w:cs="Times New Roman"/>
          <w:sz w:val="24"/>
          <w:szCs w:val="24"/>
        </w:rPr>
        <w:t xml:space="preserve"> regime-dependent variable</w:t>
      </w:r>
      <w:r w:rsidR="00671E3B">
        <w:rPr>
          <w:rFonts w:ascii="Times New Roman" w:hAnsi="Times New Roman" w:cs="Times New Roman"/>
          <w:sz w:val="24"/>
          <w:szCs w:val="24"/>
        </w:rPr>
        <w:t>, which is the t</w:t>
      </w:r>
      <w:r w:rsidR="005E4775" w:rsidRPr="00671E3B">
        <w:rPr>
          <w:rFonts w:ascii="Times New Roman" w:hAnsi="Times New Roman" w:cs="Times New Roman"/>
          <w:sz w:val="24"/>
          <w:szCs w:val="24"/>
        </w:rPr>
        <w:t>otal e</w:t>
      </w:r>
      <w:r w:rsidR="00710B6B" w:rsidRPr="00671E3B">
        <w:rPr>
          <w:rFonts w:ascii="Times New Roman" w:hAnsi="Times New Roman" w:cs="Times New Roman"/>
          <w:sz w:val="24"/>
          <w:szCs w:val="24"/>
        </w:rPr>
        <w:t>nvironmental taxes</w:t>
      </w:r>
      <w:r w:rsidR="00671E3B">
        <w:rPr>
          <w:rFonts w:ascii="Times New Roman" w:hAnsi="Times New Roman" w:cs="Times New Roman"/>
          <w:sz w:val="24"/>
          <w:szCs w:val="24"/>
        </w:rPr>
        <w:t xml:space="preserve"> is measured in million euros. </w:t>
      </w:r>
      <w:r w:rsidR="00710B6B" w:rsidRPr="00671E3B">
        <w:rPr>
          <w:rFonts w:ascii="Times New Roman" w:hAnsi="Times New Roman" w:cs="Times New Roman"/>
          <w:sz w:val="24"/>
          <w:szCs w:val="24"/>
        </w:rPr>
        <w:t xml:space="preserve">The number of regime-independent variables </w:t>
      </w:r>
      <w:r w:rsidR="00671E3B" w:rsidRPr="00671E3B">
        <w:rPr>
          <w:rFonts w:ascii="Times New Roman" w:hAnsi="Times New Roman" w:cs="Times New Roman"/>
          <w:sz w:val="24"/>
          <w:szCs w:val="24"/>
        </w:rPr>
        <w:t xml:space="preserve">in the model </w:t>
      </w:r>
      <w:r w:rsidR="002A3F22" w:rsidRPr="002A3F22">
        <w:rPr>
          <w:rFonts w:ascii="Times New Roman" w:hAnsi="Times New Roman" w:cs="Times New Roman"/>
          <w:color w:val="FF0000"/>
          <w:sz w:val="24"/>
          <w:szCs w:val="24"/>
        </w:rPr>
        <w:t>includes</w:t>
      </w:r>
      <w:r w:rsidR="00671E3B" w:rsidRPr="00671E3B">
        <w:rPr>
          <w:rFonts w:ascii="Times New Roman" w:hAnsi="Times New Roman" w:cs="Times New Roman"/>
          <w:sz w:val="24"/>
          <w:szCs w:val="24"/>
        </w:rPr>
        <w:t xml:space="preserve"> international tourism receipts measured in current US Dollars, real per capita GDP which measures economic activities, R&amp;D </w:t>
      </w:r>
      <w:r w:rsidR="00671E3B">
        <w:rPr>
          <w:rFonts w:ascii="Times New Roman" w:hAnsi="Times New Roman" w:cs="Times New Roman"/>
          <w:sz w:val="24"/>
          <w:szCs w:val="24"/>
        </w:rPr>
        <w:t xml:space="preserve">is measured as total Research and Development </w:t>
      </w:r>
      <w:r w:rsidR="00671E3B" w:rsidRPr="00671E3B">
        <w:rPr>
          <w:rFonts w:ascii="Times New Roman" w:hAnsi="Times New Roman" w:cs="Times New Roman"/>
          <w:sz w:val="24"/>
          <w:szCs w:val="24"/>
        </w:rPr>
        <w:t>as a percentage of GDP, and the ren</w:t>
      </w:r>
      <w:r w:rsidR="00671E3B">
        <w:rPr>
          <w:rFonts w:ascii="Times New Roman" w:hAnsi="Times New Roman" w:cs="Times New Roman"/>
          <w:sz w:val="24"/>
          <w:szCs w:val="24"/>
        </w:rPr>
        <w:t>ewable energy consumption is measured as</w:t>
      </w:r>
      <w:r w:rsidR="00671E3B" w:rsidRPr="00671E3B">
        <w:rPr>
          <w:rFonts w:ascii="Times New Roman" w:hAnsi="Times New Roman" w:cs="Times New Roman"/>
          <w:sz w:val="24"/>
          <w:szCs w:val="24"/>
        </w:rPr>
        <w:t xml:space="preserve"> the share of renewables in total final energy consumption. </w:t>
      </w:r>
      <w:r w:rsidR="00671E3B">
        <w:rPr>
          <w:rFonts w:ascii="Times New Roman" w:hAnsi="Times New Roman" w:cs="Times New Roman"/>
          <w:sz w:val="24"/>
          <w:szCs w:val="24"/>
        </w:rPr>
        <w:t>All the regime-independent variables are obtained from the World Development Indicators (WDI) database.</w:t>
      </w:r>
    </w:p>
    <w:p w14:paraId="0A88CEFB" w14:textId="08AE6A1B" w:rsidR="00F86FDD" w:rsidRDefault="00DF7D72" w:rsidP="002A3F22">
      <w:pPr>
        <w:autoSpaceDE w:val="0"/>
        <w:autoSpaceDN w:val="0"/>
        <w:adjustRightInd w:val="0"/>
        <w:spacing w:before="240" w:after="0" w:line="240" w:lineRule="auto"/>
        <w:rPr>
          <w:rFonts w:ascii="Times New Roman" w:hAnsi="Times New Roman" w:cs="Times New Roman"/>
          <w:b/>
          <w:sz w:val="24"/>
          <w:szCs w:val="24"/>
        </w:rPr>
      </w:pPr>
      <w:r w:rsidRPr="00046E0A">
        <w:rPr>
          <w:rFonts w:ascii="Times New Roman" w:hAnsi="Times New Roman" w:cs="Times New Roman"/>
          <w:b/>
          <w:sz w:val="24"/>
          <w:szCs w:val="24"/>
        </w:rPr>
        <w:t xml:space="preserve">3.2 </w:t>
      </w:r>
      <w:r w:rsidR="00AB7B70">
        <w:rPr>
          <w:rFonts w:ascii="Times New Roman" w:hAnsi="Times New Roman" w:cs="Times New Roman"/>
          <w:b/>
          <w:sz w:val="24"/>
          <w:szCs w:val="24"/>
        </w:rPr>
        <w:t>Empirical Model</w:t>
      </w:r>
    </w:p>
    <w:p w14:paraId="3D7916A0" w14:textId="77777777" w:rsidR="000C3BDB" w:rsidRPr="000C3BDB" w:rsidRDefault="00DF7D72" w:rsidP="000C3BDB">
      <w:pPr>
        <w:autoSpaceDE w:val="0"/>
        <w:autoSpaceDN w:val="0"/>
        <w:adjustRightInd w:val="0"/>
        <w:spacing w:after="0" w:line="276" w:lineRule="auto"/>
        <w:jc w:val="both"/>
        <w:rPr>
          <w:rFonts w:ascii="Times New Roman" w:hAnsi="Times New Roman" w:cs="Times New Roman"/>
          <w:sz w:val="24"/>
          <w:szCs w:val="24"/>
        </w:rPr>
      </w:pPr>
      <w:r w:rsidRPr="000C3BDB">
        <w:rPr>
          <w:rFonts w:ascii="Times New Roman" w:hAnsi="Times New Roman" w:cs="Times New Roman"/>
          <w:sz w:val="24"/>
          <w:szCs w:val="24"/>
        </w:rPr>
        <w:t xml:space="preserve">In achieving the main objective of this study, the following empirical model of environmental performance is developed based on the recent empirical studies of </w:t>
      </w:r>
      <w:r w:rsidRPr="000C3BDB">
        <w:rPr>
          <w:rFonts w:ascii="Times New Roman" w:hAnsi="Times New Roman" w:cs="Times New Roman"/>
          <w:iCs/>
          <w:sz w:val="24"/>
          <w:szCs w:val="24"/>
        </w:rPr>
        <w:t>Alola and Nwulu, (2022</w:t>
      </w:r>
      <w:r w:rsidRPr="000C3BDB">
        <w:rPr>
          <w:rFonts w:ascii="Times New Roman" w:hAnsi="Times New Roman" w:cs="Times New Roman"/>
          <w:sz w:val="24"/>
          <w:szCs w:val="24"/>
        </w:rPr>
        <w:t xml:space="preserve">) and </w:t>
      </w:r>
      <w:r w:rsidRPr="000C3BDB">
        <w:rPr>
          <w:rFonts w:ascii="Times New Roman" w:hAnsi="Times New Roman" w:cs="Times New Roman"/>
          <w:iCs/>
          <w:sz w:val="24"/>
          <w:szCs w:val="24"/>
        </w:rPr>
        <w:t>Wolde-Rufael and Mulat-weldemeskel, (2022):</w:t>
      </w:r>
    </w:p>
    <w:p w14:paraId="6965CEBD" w14:textId="77777777" w:rsidR="000C3BDB" w:rsidRPr="000C3BDB" w:rsidRDefault="000C3BDB" w:rsidP="000C3BDB">
      <w:pPr>
        <w:autoSpaceDE w:val="0"/>
        <w:autoSpaceDN w:val="0"/>
        <w:adjustRightInd w:val="0"/>
        <w:spacing w:after="0" w:line="240" w:lineRule="auto"/>
        <w:jc w:val="both"/>
        <w:rPr>
          <w:rFonts w:ascii="Times New Roman" w:hAnsi="Times New Roman" w:cs="Times New Roman"/>
          <w:sz w:val="24"/>
          <w:szCs w:val="24"/>
        </w:rPr>
      </w:pPr>
    </w:p>
    <w:p w14:paraId="01B927F8" w14:textId="77777777" w:rsidR="00F86FDD" w:rsidRDefault="00DF7D72" w:rsidP="00F86FDD">
      <w:pPr>
        <w:spacing w:after="0" w:line="360" w:lineRule="auto"/>
        <w:jc w:val="both"/>
        <w:rPr>
          <w:rFonts w:ascii="Times New Roman" w:hAnsi="Times New Roman" w:cs="Times New Roman"/>
          <w:sz w:val="24"/>
          <w:szCs w:val="24"/>
        </w:rPr>
      </w:pPr>
      <w:r>
        <w:rPr>
          <w:rFonts w:ascii="Times New Roman" w:hAnsi="Times New Roman" w:cs="Times New Roman"/>
          <w:position w:val="-12"/>
          <w:sz w:val="24"/>
          <w:szCs w:val="24"/>
        </w:rPr>
        <w:object w:dxaOrig="8028" w:dyaOrig="360" w14:anchorId="1FA9B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18pt" o:ole="">
            <v:imagedata r:id="rId10" o:title=""/>
          </v:shape>
          <o:OLEObject Type="Embed" ProgID="Equation.DSMT4" ShapeID="_x0000_i1025" DrawAspect="Content" ObjectID="_1770110286" r:id="rId11"/>
        </w:object>
      </w:r>
      <w:r w:rsidRPr="00F86FDD">
        <w:rPr>
          <w:rFonts w:ascii="Times New Roman" w:hAnsi="Times New Roman" w:cs="Times New Roman"/>
          <w:sz w:val="24"/>
          <w:szCs w:val="24"/>
        </w:rPr>
        <w:tab/>
      </w:r>
      <w:r>
        <w:rPr>
          <w:rFonts w:ascii="Times New Roman" w:hAnsi="Times New Roman" w:cs="Times New Roman"/>
          <w:sz w:val="24"/>
          <w:szCs w:val="24"/>
        </w:rPr>
        <w:t>(1</w:t>
      </w:r>
      <w:r w:rsidRPr="00F86FDD">
        <w:rPr>
          <w:rFonts w:ascii="Times New Roman" w:hAnsi="Times New Roman" w:cs="Times New Roman"/>
          <w:sz w:val="24"/>
          <w:szCs w:val="24"/>
        </w:rPr>
        <w:t>)</w:t>
      </w:r>
    </w:p>
    <w:p w14:paraId="05F6D4B6" w14:textId="459D8A21" w:rsidR="00A91813" w:rsidRPr="00130DEB" w:rsidRDefault="00DF7D72" w:rsidP="00130DE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Where EP is an index of environmental performance. TRM and ETAX represent international tourism receipts and total environmental taxes. These variables are the main variables of interest in the present study. Other vital control variables include GDP which measures the level of economic activity. R&amp;D is the level of expenditure in research and development, while REN denotes the consumption of renewable energy. </w:t>
      </w:r>
      <w:r w:rsidR="00C1739D">
        <w:rPr>
          <w:rFonts w:ascii="Times New Roman" w:hAnsi="Times New Roman" w:cs="Times New Roman"/>
          <w:sz w:val="24"/>
          <w:szCs w:val="24"/>
        </w:rPr>
        <w:t xml:space="preserve">The error term is denoted by </w:t>
      </w:r>
      <w:r>
        <w:rPr>
          <w:position w:val="-12"/>
        </w:rPr>
        <w:object w:dxaOrig="285" w:dyaOrig="360" w14:anchorId="4C37680A">
          <v:shape id="_x0000_i1026" type="#_x0000_t75" style="width:14.25pt;height:18pt" o:ole="">
            <v:imagedata r:id="rId12" o:title=""/>
          </v:shape>
          <o:OLEObject Type="Embed" ProgID="Equation.DSMT4" ShapeID="_x0000_i1026" DrawAspect="Content" ObjectID="_1770110287" r:id="rId13"/>
        </w:object>
      </w:r>
      <w:r w:rsidR="00C1739D">
        <w:t xml:space="preserve"> </w:t>
      </w:r>
      <w:r w:rsidR="00C1739D" w:rsidRPr="00C1739D">
        <w:rPr>
          <w:rFonts w:ascii="Times New Roman" w:hAnsi="Times New Roman" w:cs="Times New Roman"/>
          <w:sz w:val="24"/>
          <w:szCs w:val="24"/>
        </w:rPr>
        <w:t>where</w:t>
      </w:r>
      <w:r>
        <w:rPr>
          <w:position w:val="-12"/>
        </w:rPr>
        <w:object w:dxaOrig="1335" w:dyaOrig="375" w14:anchorId="049F2A64">
          <v:shape id="_x0000_i1027" type="#_x0000_t75" style="width:66.75pt;height:19.5pt" o:ole="">
            <v:imagedata r:id="rId14" o:title=""/>
          </v:shape>
          <o:OLEObject Type="Embed" ProgID="Equation.DSMT4" ShapeID="_x0000_i1027" DrawAspect="Content" ObjectID="_1770110288" r:id="rId15"/>
        </w:object>
      </w:r>
      <w:r>
        <w:t xml:space="preserve"> </w:t>
      </w:r>
      <w:r w:rsidRPr="00C35370">
        <w:rPr>
          <w:rFonts w:ascii="Times New Roman" w:hAnsi="Times New Roman" w:cs="Times New Roman"/>
          <w:sz w:val="24"/>
          <w:szCs w:val="24"/>
        </w:rPr>
        <w:t xml:space="preserve">at </w:t>
      </w:r>
      <w:r>
        <w:rPr>
          <w:rFonts w:ascii="Times New Roman" w:hAnsi="Times New Roman" w:cs="Times New Roman"/>
          <w:position w:val="-10"/>
          <w:sz w:val="24"/>
          <w:szCs w:val="24"/>
        </w:rPr>
        <w:object w:dxaOrig="975" w:dyaOrig="315" w14:anchorId="692A013D">
          <v:shape id="_x0000_i1028" type="#_x0000_t75" style="width:48.75pt;height:15pt" o:ole="">
            <v:imagedata r:id="rId16" o:title=""/>
          </v:shape>
          <o:OLEObject Type="Embed" ProgID="Equation.DSMT4" ShapeID="_x0000_i1028" DrawAspect="Content" ObjectID="_1770110289" r:id="rId17"/>
        </w:object>
      </w:r>
      <w:r w:rsidRPr="00C35370">
        <w:rPr>
          <w:rFonts w:ascii="Times New Roman" w:hAnsi="Times New Roman" w:cs="Times New Roman"/>
          <w:sz w:val="24"/>
          <w:szCs w:val="24"/>
        </w:rPr>
        <w:t xml:space="preserve"> and </w:t>
      </w:r>
      <w:r>
        <w:rPr>
          <w:rFonts w:ascii="Times New Roman" w:hAnsi="Times New Roman" w:cs="Times New Roman"/>
          <w:position w:val="-10"/>
          <w:sz w:val="24"/>
          <w:szCs w:val="24"/>
        </w:rPr>
        <w:object w:dxaOrig="1005" w:dyaOrig="315" w14:anchorId="0B7E62DF">
          <v:shape id="_x0000_i1029" type="#_x0000_t75" style="width:50.25pt;height:15pt" o:ole="">
            <v:imagedata r:id="rId18" o:title=""/>
          </v:shape>
          <o:OLEObject Type="Embed" ProgID="Equation.DSMT4" ShapeID="_x0000_i1029" DrawAspect="Content" ObjectID="_1770110290" r:id="rId19"/>
        </w:object>
      </w:r>
    </w:p>
    <w:p w14:paraId="694B047C" w14:textId="77777777" w:rsidR="00EC1C77" w:rsidRPr="006C5DFC" w:rsidRDefault="00DF7D72" w:rsidP="00130DEB">
      <w:pPr>
        <w:autoSpaceDE w:val="0"/>
        <w:autoSpaceDN w:val="0"/>
        <w:adjustRightInd w:val="0"/>
        <w:spacing w:before="240" w:after="0" w:line="276" w:lineRule="auto"/>
        <w:jc w:val="both"/>
        <w:rPr>
          <w:rFonts w:ascii="AdvOT5fcf1b24" w:hAnsi="AdvOT5fcf1b24" w:cs="AdvOT5fcf1b24"/>
          <w:sz w:val="16"/>
          <w:szCs w:val="16"/>
        </w:rPr>
      </w:pPr>
      <w:proofErr w:type="gramStart"/>
      <w:r w:rsidRPr="00B56CB6">
        <w:rPr>
          <w:rFonts w:ascii="Times New Roman" w:hAnsi="Times New Roman" w:cs="Times New Roman"/>
          <w:sz w:val="24"/>
          <w:szCs w:val="24"/>
        </w:rPr>
        <w:t>In order to</w:t>
      </w:r>
      <w:proofErr w:type="gramEnd"/>
      <w:r w:rsidRPr="00B56CB6">
        <w:rPr>
          <w:rFonts w:ascii="Times New Roman" w:hAnsi="Times New Roman" w:cs="Times New Roman"/>
          <w:sz w:val="24"/>
          <w:szCs w:val="24"/>
        </w:rPr>
        <w:t xml:space="preserve"> examin</w:t>
      </w:r>
      <w:r w:rsidR="00110373">
        <w:rPr>
          <w:rFonts w:ascii="Times New Roman" w:hAnsi="Times New Roman" w:cs="Times New Roman"/>
          <w:sz w:val="24"/>
          <w:szCs w:val="24"/>
        </w:rPr>
        <w:t>e how total environmental taxes</w:t>
      </w:r>
      <w:r w:rsidR="00F20461">
        <w:rPr>
          <w:rFonts w:ascii="Times New Roman" w:hAnsi="Times New Roman" w:cs="Times New Roman"/>
          <w:sz w:val="24"/>
          <w:szCs w:val="24"/>
        </w:rPr>
        <w:t xml:space="preserve"> </w:t>
      </w:r>
      <w:r w:rsidR="00110373">
        <w:rPr>
          <w:rFonts w:ascii="Times New Roman" w:hAnsi="Times New Roman" w:cs="Times New Roman"/>
          <w:sz w:val="24"/>
          <w:szCs w:val="24"/>
        </w:rPr>
        <w:t>impact tourism-environment</w:t>
      </w:r>
      <w:r w:rsidR="00F20461">
        <w:rPr>
          <w:rFonts w:ascii="Times New Roman" w:hAnsi="Times New Roman" w:cs="Times New Roman"/>
          <w:sz w:val="24"/>
          <w:szCs w:val="24"/>
        </w:rPr>
        <w:t xml:space="preserve"> linkage</w:t>
      </w:r>
      <w:r>
        <w:rPr>
          <w:rFonts w:ascii="Times New Roman" w:hAnsi="Times New Roman" w:cs="Times New Roman"/>
          <w:sz w:val="24"/>
          <w:szCs w:val="24"/>
        </w:rPr>
        <w:t xml:space="preserve">, we follow the approach proposed by </w:t>
      </w:r>
      <w:r w:rsidRPr="00B56CB6">
        <w:rPr>
          <w:rFonts w:ascii="AdvOT1ef757c0" w:hAnsi="AdvOT1ef757c0" w:cs="AdvOT1ef757c0"/>
        </w:rPr>
        <w:t xml:space="preserve">Hansen </w:t>
      </w:r>
      <w:r w:rsidRPr="00B56CB6">
        <w:rPr>
          <w:rFonts w:ascii="Times New Roman" w:hAnsi="Times New Roman" w:cs="Times New Roman"/>
          <w:sz w:val="24"/>
          <w:szCs w:val="24"/>
        </w:rPr>
        <w:t>(2000)</w:t>
      </w:r>
      <w:r>
        <w:rPr>
          <w:rFonts w:ascii="Times New Roman" w:hAnsi="Times New Roman" w:cs="Times New Roman"/>
          <w:sz w:val="24"/>
          <w:szCs w:val="24"/>
        </w:rPr>
        <w:t>, which accounts for the contingent imp</w:t>
      </w:r>
      <w:r w:rsidR="00110373">
        <w:rPr>
          <w:rFonts w:ascii="Times New Roman" w:hAnsi="Times New Roman" w:cs="Times New Roman"/>
          <w:sz w:val="24"/>
          <w:szCs w:val="24"/>
        </w:rPr>
        <w:t>act of</w:t>
      </w:r>
      <w:r w:rsidR="00F20461">
        <w:rPr>
          <w:rFonts w:ascii="Times New Roman" w:hAnsi="Times New Roman" w:cs="Times New Roman"/>
          <w:sz w:val="24"/>
          <w:szCs w:val="24"/>
        </w:rPr>
        <w:t xml:space="preserve"> total environmental taxes</w:t>
      </w:r>
      <w:r w:rsidR="00DB6CB1">
        <w:rPr>
          <w:rFonts w:ascii="Times New Roman" w:hAnsi="Times New Roman" w:cs="Times New Roman"/>
          <w:sz w:val="24"/>
          <w:szCs w:val="24"/>
        </w:rPr>
        <w:t>. Under this technique</w:t>
      </w:r>
      <w:r>
        <w:rPr>
          <w:rFonts w:ascii="Times New Roman" w:hAnsi="Times New Roman" w:cs="Times New Roman"/>
          <w:sz w:val="24"/>
          <w:szCs w:val="24"/>
        </w:rPr>
        <w:t xml:space="preserve">, </w:t>
      </w:r>
      <w:r w:rsidRPr="006C5DFC">
        <w:rPr>
          <w:rFonts w:ascii="Times New Roman" w:hAnsi="Times New Roman" w:cs="Times New Roman"/>
          <w:sz w:val="24"/>
          <w:szCs w:val="24"/>
        </w:rPr>
        <w:t>the transition across</w:t>
      </w:r>
      <w:r>
        <w:rPr>
          <w:rFonts w:ascii="Times New Roman" w:hAnsi="Times New Roman" w:cs="Times New Roman"/>
          <w:sz w:val="24"/>
          <w:szCs w:val="24"/>
        </w:rPr>
        <w:t xml:space="preserve"> two</w:t>
      </w:r>
      <w:r w:rsidRPr="006C5DFC">
        <w:rPr>
          <w:rFonts w:ascii="Times New Roman" w:hAnsi="Times New Roman" w:cs="Times New Roman"/>
          <w:sz w:val="24"/>
          <w:szCs w:val="24"/>
        </w:rPr>
        <w:t xml:space="preserve"> regimes </w:t>
      </w:r>
      <w:r>
        <w:rPr>
          <w:rFonts w:ascii="Times New Roman" w:hAnsi="Times New Roman" w:cs="Times New Roman"/>
          <w:sz w:val="24"/>
          <w:szCs w:val="24"/>
        </w:rPr>
        <w:t>occurs</w:t>
      </w:r>
      <w:r w:rsidRPr="006C5DFC">
        <w:rPr>
          <w:rFonts w:ascii="Times New Roman" w:hAnsi="Times New Roman" w:cs="Times New Roman"/>
          <w:sz w:val="24"/>
          <w:szCs w:val="24"/>
        </w:rPr>
        <w:t xml:space="preserve"> sharply. </w:t>
      </w:r>
      <w:r>
        <w:rPr>
          <w:rFonts w:ascii="Times New Roman" w:hAnsi="Times New Roman" w:cs="Times New Roman"/>
          <w:sz w:val="24"/>
          <w:szCs w:val="24"/>
        </w:rPr>
        <w:t>Therefore, Hansen's panel threshold model can be expressed as:</w:t>
      </w:r>
      <w:r>
        <w:rPr>
          <w:rStyle w:val="Fotnotereferanse"/>
          <w:rFonts w:ascii="Times New Roman" w:hAnsi="Times New Roman" w:cs="Times New Roman"/>
          <w:sz w:val="24"/>
          <w:szCs w:val="24"/>
        </w:rPr>
        <w:footnoteReference w:id="1"/>
      </w:r>
    </w:p>
    <w:p w14:paraId="7DF7F5FD" w14:textId="77777777" w:rsidR="00EC1C77" w:rsidRDefault="00DF7D72" w:rsidP="00BE06F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CA4EF29" w14:textId="77777777" w:rsidR="00EC1C77" w:rsidRPr="006B49C9" w:rsidRDefault="00DF7D72" w:rsidP="00BE06F5">
      <w:pPr>
        <w:spacing w:line="240" w:lineRule="auto"/>
        <w:ind w:left="720" w:firstLine="720"/>
        <w:jc w:val="both"/>
        <w:rPr>
          <w:rFonts w:ascii="Times New Roman" w:hAnsi="Times New Roman" w:cs="Times New Roman"/>
          <w:sz w:val="24"/>
          <w:szCs w:val="24"/>
        </w:rPr>
      </w:pPr>
      <w:r>
        <w:rPr>
          <w:position w:val="-32"/>
        </w:rPr>
        <w:object w:dxaOrig="4380" w:dyaOrig="765" w14:anchorId="0AA3B319">
          <v:shape id="_x0000_i1030" type="#_x0000_t75" style="width:219pt;height:38.25pt" o:ole="">
            <v:imagedata r:id="rId20" o:title=""/>
          </v:shape>
          <o:OLEObject Type="Embed" ProgID="Equation.DSMT4" ShapeID="_x0000_i1030" DrawAspect="Content" ObjectID="_1770110291" r:id="rId21"/>
        </w:object>
      </w:r>
      <w:r w:rsidR="000C3BDB">
        <w:rPr>
          <w:rFonts w:ascii="Times New Roman" w:hAnsi="Times New Roman" w:cs="Times New Roman"/>
          <w:sz w:val="24"/>
          <w:szCs w:val="24"/>
        </w:rPr>
        <w:tab/>
      </w:r>
      <w:r w:rsidR="000C3BDB">
        <w:rPr>
          <w:rFonts w:ascii="Times New Roman" w:hAnsi="Times New Roman" w:cs="Times New Roman"/>
          <w:sz w:val="24"/>
          <w:szCs w:val="24"/>
        </w:rPr>
        <w:tab/>
      </w:r>
      <w:r w:rsidR="000C3BDB">
        <w:rPr>
          <w:rFonts w:ascii="Times New Roman" w:hAnsi="Times New Roman" w:cs="Times New Roman"/>
          <w:sz w:val="24"/>
          <w:szCs w:val="24"/>
        </w:rPr>
        <w:tab/>
      </w:r>
      <w:r w:rsidR="000C3BDB">
        <w:rPr>
          <w:rFonts w:ascii="Times New Roman" w:hAnsi="Times New Roman" w:cs="Times New Roman"/>
          <w:sz w:val="24"/>
          <w:szCs w:val="24"/>
        </w:rPr>
        <w:tab/>
        <w:t>(2</w:t>
      </w:r>
      <w:r w:rsidRPr="006B49C9">
        <w:rPr>
          <w:rFonts w:ascii="Times New Roman" w:hAnsi="Times New Roman" w:cs="Times New Roman"/>
          <w:sz w:val="24"/>
          <w:szCs w:val="24"/>
        </w:rPr>
        <w:t>)</w:t>
      </w:r>
    </w:p>
    <w:p w14:paraId="6365C59C" w14:textId="15DB71C1" w:rsidR="00EC1C77" w:rsidRDefault="00DF7D72" w:rsidP="00BE0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w:t>
      </w:r>
      <w:proofErr w:type="spellStart"/>
      <w:r>
        <w:rPr>
          <w:rFonts w:ascii="Times New Roman" w:hAnsi="Times New Roman" w:cs="Times New Roman"/>
          <w:sz w:val="24"/>
          <w:szCs w:val="24"/>
        </w:rPr>
        <w:t>lnEP</w:t>
      </w:r>
      <w:proofErr w:type="spellEnd"/>
      <w:r w:rsidR="00DB6CB1">
        <w:rPr>
          <w:rFonts w:ascii="Times New Roman" w:hAnsi="Times New Roman" w:cs="Times New Roman"/>
          <w:sz w:val="24"/>
          <w:szCs w:val="24"/>
        </w:rPr>
        <w:t xml:space="preserve"> i</w:t>
      </w:r>
      <w:r>
        <w:rPr>
          <w:rFonts w:ascii="Times New Roman" w:hAnsi="Times New Roman" w:cs="Times New Roman"/>
          <w:sz w:val="24"/>
          <w:szCs w:val="24"/>
        </w:rPr>
        <w:t>s the index of environmental performance</w:t>
      </w:r>
      <w:r w:rsidR="00DB6CB1">
        <w:rPr>
          <w:rFonts w:ascii="Times New Roman" w:hAnsi="Times New Roman" w:cs="Times New Roman"/>
          <w:sz w:val="24"/>
          <w:szCs w:val="24"/>
        </w:rPr>
        <w:t xml:space="preserve">, </w:t>
      </w:r>
      <w:proofErr w:type="spellStart"/>
      <w:r w:rsidR="00DB6CB1">
        <w:rPr>
          <w:rFonts w:ascii="Times New Roman" w:hAnsi="Times New Roman" w:cs="Times New Roman"/>
          <w:sz w:val="24"/>
          <w:szCs w:val="24"/>
        </w:rPr>
        <w:t>lnTRM</w:t>
      </w:r>
      <w:proofErr w:type="spellEnd"/>
      <w:r w:rsidRPr="00265ED8">
        <w:rPr>
          <w:rFonts w:ascii="Times New Roman" w:hAnsi="Times New Roman" w:cs="Times New Roman"/>
          <w:sz w:val="24"/>
          <w:szCs w:val="24"/>
        </w:rPr>
        <w:t xml:space="preserve"> is the </w:t>
      </w:r>
      <w:r w:rsidR="00DB6CB1">
        <w:rPr>
          <w:rFonts w:ascii="Times New Roman" w:hAnsi="Times New Roman" w:cs="Times New Roman"/>
          <w:sz w:val="24"/>
          <w:szCs w:val="24"/>
        </w:rPr>
        <w:t>international touris</w:t>
      </w:r>
      <w:r w:rsidR="00046E0A">
        <w:rPr>
          <w:rFonts w:ascii="Times New Roman" w:hAnsi="Times New Roman" w:cs="Times New Roman"/>
          <w:sz w:val="24"/>
          <w:szCs w:val="24"/>
        </w:rPr>
        <w:t>m receipts</w:t>
      </w:r>
      <w:r w:rsidRPr="00265ED8">
        <w:rPr>
          <w:rFonts w:ascii="Times New Roman" w:hAnsi="Times New Roman" w:cs="Times New Roman"/>
          <w:sz w:val="24"/>
          <w:szCs w:val="24"/>
        </w:rPr>
        <w:t xml:space="preserve">, </w:t>
      </w:r>
      <w:r w:rsidRPr="00A91813">
        <w:rPr>
          <w:rFonts w:ascii="Times New Roman" w:hAnsi="Times New Roman" w:cs="Times New Roman"/>
          <w:i/>
          <w:sz w:val="24"/>
          <w:szCs w:val="24"/>
        </w:rPr>
        <w:t>Z</w:t>
      </w:r>
      <w:r w:rsidRPr="00265ED8">
        <w:rPr>
          <w:rFonts w:ascii="Times New Roman" w:hAnsi="Times New Roman" w:cs="Times New Roman"/>
          <w:sz w:val="24"/>
          <w:szCs w:val="24"/>
        </w:rPr>
        <w:t xml:space="preserve"> is the threshold variable, which d</w:t>
      </w:r>
      <w:r>
        <w:rPr>
          <w:rFonts w:ascii="Times New Roman" w:hAnsi="Times New Roman" w:cs="Times New Roman"/>
          <w:sz w:val="24"/>
          <w:szCs w:val="24"/>
        </w:rPr>
        <w:t>enotes the total</w:t>
      </w:r>
      <w:r w:rsidR="00022298">
        <w:rPr>
          <w:rFonts w:ascii="Times New Roman" w:hAnsi="Times New Roman" w:cs="Times New Roman"/>
          <w:sz w:val="24"/>
          <w:szCs w:val="24"/>
        </w:rPr>
        <w:t xml:space="preserve"> environmental taxes</w:t>
      </w:r>
      <w:r>
        <w:rPr>
          <w:rFonts w:ascii="Times New Roman" w:hAnsi="Times New Roman" w:cs="Times New Roman"/>
          <w:sz w:val="24"/>
          <w:szCs w:val="24"/>
        </w:rPr>
        <w:t>,</w:t>
      </w:r>
      <w:r w:rsidRPr="00FD350F">
        <w:rPr>
          <w:rFonts w:ascii="Times New Roman" w:hAnsi="Times New Roman" w:cs="Times New Roman"/>
          <w:sz w:val="24"/>
          <w:szCs w:val="24"/>
        </w:rPr>
        <w:t xml:space="preserve"> </w:t>
      </w:r>
      <w:r>
        <w:rPr>
          <w:rFonts w:ascii="Times New Roman" w:hAnsi="Times New Roman" w:cs="Times New Roman"/>
          <w:position w:val="-12"/>
          <w:sz w:val="24"/>
          <w:szCs w:val="24"/>
        </w:rPr>
        <w:object w:dxaOrig="360" w:dyaOrig="360" w14:anchorId="451A6E65">
          <v:shape id="_x0000_i1031" type="#_x0000_t75" style="width:18pt;height:18pt" o:ole="">
            <v:imagedata r:id="rId22" o:title=""/>
          </v:shape>
          <o:OLEObject Type="Embed" ProgID="Equation.DSMT4" ShapeID="_x0000_i1031" DrawAspect="Content" ObjectID="_1770110292" r:id="rId23"/>
        </w:object>
      </w:r>
      <w:r w:rsidR="00022298">
        <w:rPr>
          <w:rFonts w:ascii="Times New Roman" w:hAnsi="Times New Roman" w:cs="Times New Roman"/>
          <w:sz w:val="24"/>
          <w:szCs w:val="24"/>
        </w:rPr>
        <w:t xml:space="preserve"> implies </w:t>
      </w:r>
      <w:r w:rsidR="00AA79FD">
        <w:rPr>
          <w:rFonts w:ascii="Times New Roman" w:hAnsi="Times New Roman" w:cs="Times New Roman"/>
          <w:sz w:val="24"/>
          <w:szCs w:val="24"/>
        </w:rPr>
        <w:t xml:space="preserve">regime-independent regressors, i.e. </w:t>
      </w:r>
      <w:r w:rsidRPr="00FD350F">
        <w:rPr>
          <w:rFonts w:ascii="Times New Roman" w:hAnsi="Times New Roman" w:cs="Times New Roman"/>
          <w:sz w:val="24"/>
          <w:szCs w:val="24"/>
        </w:rPr>
        <w:t>additional variables</w:t>
      </w:r>
      <w:r>
        <w:rPr>
          <w:rFonts w:ascii="Times New Roman" w:hAnsi="Times New Roman" w:cs="Times New Roman"/>
          <w:sz w:val="24"/>
          <w:szCs w:val="24"/>
        </w:rPr>
        <w:t xml:space="preserve"> that</w:t>
      </w:r>
      <w:r w:rsidR="00AA79FD">
        <w:rPr>
          <w:rFonts w:ascii="Times New Roman" w:hAnsi="Times New Roman" w:cs="Times New Roman"/>
          <w:sz w:val="24"/>
          <w:szCs w:val="24"/>
        </w:rPr>
        <w:t xml:space="preserve"> can </w:t>
      </w:r>
      <w:r>
        <w:rPr>
          <w:rFonts w:ascii="Times New Roman" w:hAnsi="Times New Roman" w:cs="Times New Roman"/>
          <w:sz w:val="24"/>
          <w:szCs w:val="24"/>
        </w:rPr>
        <w:t>explain</w:t>
      </w:r>
      <w:r w:rsidRPr="00FD350F">
        <w:rPr>
          <w:rFonts w:ascii="Times New Roman" w:hAnsi="Times New Roman" w:cs="Times New Roman"/>
          <w:sz w:val="24"/>
          <w:szCs w:val="24"/>
        </w:rPr>
        <w:t xml:space="preserve"> changes in </w:t>
      </w:r>
      <w:r>
        <w:rPr>
          <w:rFonts w:ascii="Times New Roman" w:hAnsi="Times New Roman" w:cs="Times New Roman"/>
          <w:sz w:val="24"/>
          <w:szCs w:val="24"/>
        </w:rPr>
        <w:t>environmental performance</w:t>
      </w:r>
      <w:r w:rsidR="00022298">
        <w:rPr>
          <w:rFonts w:ascii="Times New Roman" w:hAnsi="Times New Roman" w:cs="Times New Roman"/>
          <w:sz w:val="24"/>
          <w:szCs w:val="24"/>
        </w:rPr>
        <w:t xml:space="preserve"> such as economic activities, renewable energy and the intensity of research and development.</w:t>
      </w:r>
      <w:r w:rsidRPr="00265ED8">
        <w:rPr>
          <w:rFonts w:ascii="Times New Roman" w:hAnsi="Times New Roman" w:cs="Times New Roman"/>
          <w:sz w:val="24"/>
          <w:szCs w:val="24"/>
        </w:rPr>
        <w:t xml:space="preserve"> </w:t>
      </w:r>
      <w:r>
        <w:rPr>
          <w:rFonts w:ascii="Times New Roman" w:hAnsi="Times New Roman" w:cs="Times New Roman"/>
          <w:position w:val="-10"/>
          <w:sz w:val="24"/>
          <w:szCs w:val="24"/>
        </w:rPr>
        <w:object w:dxaOrig="195" w:dyaOrig="255" w14:anchorId="2209E7E5">
          <v:shape id="_x0000_i1032" type="#_x0000_t75" style="width:9.75pt;height:12.75pt" o:ole="">
            <v:imagedata r:id="rId24" o:title=""/>
          </v:shape>
          <o:OLEObject Type="Embed" ProgID="Equation.DSMT4" ShapeID="_x0000_i1032" DrawAspect="Content" ObjectID="_1770110293" r:id="rId25"/>
        </w:object>
      </w:r>
      <w:r w:rsidR="00022298">
        <w:rPr>
          <w:rFonts w:ascii="Times New Roman" w:hAnsi="Times New Roman" w:cs="Times New Roman"/>
          <w:sz w:val="24"/>
          <w:szCs w:val="24"/>
        </w:rPr>
        <w:t xml:space="preserve"> simply denotes</w:t>
      </w:r>
      <w:r w:rsidRPr="00265ED8">
        <w:rPr>
          <w:rFonts w:ascii="Times New Roman" w:hAnsi="Times New Roman" w:cs="Times New Roman"/>
          <w:sz w:val="24"/>
          <w:szCs w:val="24"/>
        </w:rPr>
        <w:t xml:space="preserve"> the estimated threshold value</w:t>
      </w:r>
      <w:r w:rsidR="00022298">
        <w:rPr>
          <w:rFonts w:ascii="Times New Roman" w:hAnsi="Times New Roman" w:cs="Times New Roman"/>
          <w:sz w:val="24"/>
          <w:szCs w:val="24"/>
        </w:rPr>
        <w:t xml:space="preserve"> while </w:t>
      </w:r>
      <w:r>
        <w:rPr>
          <w:position w:val="-12"/>
        </w:rPr>
        <w:object w:dxaOrig="285" w:dyaOrig="360" w14:anchorId="7111EF71">
          <v:shape id="_x0000_i1033" type="#_x0000_t75" style="width:14.25pt;height:18pt" o:ole="">
            <v:imagedata r:id="rId26" o:title=""/>
          </v:shape>
          <o:OLEObject Type="Embed" ProgID="Equation.DSMT4" ShapeID="_x0000_i1033" DrawAspect="Content" ObjectID="_1770110294" r:id="rId27"/>
        </w:object>
      </w:r>
      <w:r w:rsidRPr="00B56CB6">
        <w:t xml:space="preserve"> </w:t>
      </w:r>
      <w:r>
        <w:rPr>
          <w:rFonts w:ascii="Times New Roman" w:hAnsi="Times New Roman" w:cs="Times New Roman"/>
          <w:sz w:val="24"/>
          <w:szCs w:val="24"/>
        </w:rPr>
        <w:t>is the residual</w:t>
      </w:r>
      <w:r w:rsidRPr="00B56CB6">
        <w:rPr>
          <w:rFonts w:ascii="Times New Roman" w:hAnsi="Times New Roman" w:cs="Times New Roman"/>
          <w:sz w:val="24"/>
          <w:szCs w:val="24"/>
        </w:rPr>
        <w:t xml:space="preserve"> term </w:t>
      </w:r>
      <w:r>
        <w:rPr>
          <w:rFonts w:ascii="Times New Roman" w:hAnsi="Times New Roman" w:cs="Times New Roman"/>
          <w:sz w:val="24"/>
          <w:szCs w:val="24"/>
        </w:rPr>
        <w:t xml:space="preserve">that is </w:t>
      </w:r>
      <w:r w:rsidRPr="00B56CB6">
        <w:rPr>
          <w:rFonts w:ascii="Times New Roman" w:hAnsi="Times New Roman" w:cs="Times New Roman"/>
          <w:sz w:val="24"/>
          <w:szCs w:val="24"/>
        </w:rPr>
        <w:t xml:space="preserve">assumed to have </w:t>
      </w:r>
      <w:r>
        <w:rPr>
          <w:rFonts w:ascii="Times New Roman" w:eastAsiaTheme="minorEastAsia" w:hAnsi="Times New Roman" w:cs="Times New Roman"/>
          <w:sz w:val="24"/>
          <w:szCs w:val="24"/>
        </w:rPr>
        <w:t>zero-mean and constant</w:t>
      </w:r>
      <w:r w:rsidRPr="00B56CB6">
        <w:rPr>
          <w:rFonts w:ascii="Times New Roman" w:eastAsiaTheme="minorEastAsia" w:hAnsi="Times New Roman" w:cs="Times New Roman"/>
          <w:sz w:val="24"/>
          <w:szCs w:val="24"/>
        </w:rPr>
        <w:t xml:space="preserve"> </w:t>
      </w:r>
      <w:r w:rsidRPr="002A3F22">
        <w:rPr>
          <w:rFonts w:ascii="Times New Roman" w:eastAsiaTheme="minorEastAsia" w:hAnsi="Times New Roman" w:cs="Times New Roman"/>
          <w:color w:val="FF0000"/>
          <w:sz w:val="24"/>
          <w:szCs w:val="24"/>
        </w:rPr>
        <w:t>variance</w:t>
      </w:r>
      <w:r w:rsidR="002A3F22" w:rsidRPr="002A3F22">
        <w:rPr>
          <w:rFonts w:ascii="Times New Roman" w:eastAsiaTheme="minorEastAsia" w:hAnsi="Times New Roman" w:cs="Times New Roman"/>
          <w:color w:val="FF0000"/>
          <w:sz w:val="24"/>
          <w:szCs w:val="24"/>
        </w:rPr>
        <w:t>.</w:t>
      </w:r>
      <w:r w:rsidRPr="002A3F22">
        <w:rPr>
          <w:rFonts w:ascii="Times New Roman" w:hAnsi="Times New Roman" w:cs="Times New Roman"/>
          <w:color w:val="FF0000"/>
          <w:sz w:val="24"/>
          <w:szCs w:val="24"/>
        </w:rPr>
        <w:t xml:space="preserve"> </w:t>
      </w:r>
      <w:r>
        <w:rPr>
          <w:rFonts w:ascii="Times New Roman" w:hAnsi="Times New Roman" w:cs="Times New Roman"/>
          <w:sz w:val="24"/>
          <w:szCs w:val="24"/>
        </w:rPr>
        <w:t xml:space="preserve">Following this approach, the indicator variable, </w:t>
      </w:r>
      <w:r w:rsidRPr="00A91813">
        <w:rPr>
          <w:rFonts w:ascii="Times New Roman" w:hAnsi="Times New Roman" w:cs="Times New Roman"/>
          <w:i/>
          <w:sz w:val="24"/>
          <w:szCs w:val="24"/>
        </w:rPr>
        <w:t>Z</w:t>
      </w:r>
      <w:r>
        <w:rPr>
          <w:rFonts w:ascii="Times New Roman" w:hAnsi="Times New Roman" w:cs="Times New Roman"/>
          <w:sz w:val="24"/>
          <w:szCs w:val="24"/>
        </w:rPr>
        <w:t xml:space="preserve"> is automatically split into two regimes</w:t>
      </w:r>
      <w:r w:rsidRPr="00C35370">
        <w:rPr>
          <w:rFonts w:ascii="Times New Roman" w:hAnsi="Times New Roman" w:cs="Times New Roman"/>
          <w:sz w:val="24"/>
          <w:szCs w:val="24"/>
        </w:rPr>
        <w:t>––low</w:t>
      </w:r>
      <w:r w:rsidR="00FC159F">
        <w:rPr>
          <w:rFonts w:ascii="Times New Roman" w:hAnsi="Times New Roman" w:cs="Times New Roman"/>
          <w:sz w:val="24"/>
          <w:szCs w:val="24"/>
        </w:rPr>
        <w:t>er</w:t>
      </w:r>
      <w:r w:rsidRPr="00C35370">
        <w:rPr>
          <w:rFonts w:ascii="Times New Roman" w:hAnsi="Times New Roman" w:cs="Times New Roman"/>
          <w:sz w:val="24"/>
          <w:szCs w:val="24"/>
        </w:rPr>
        <w:t xml:space="preserve"> </w:t>
      </w:r>
      <w:r w:rsidR="00022298">
        <w:rPr>
          <w:rFonts w:ascii="Times New Roman" w:hAnsi="Times New Roman" w:cs="Times New Roman"/>
          <w:sz w:val="24"/>
          <w:szCs w:val="24"/>
        </w:rPr>
        <w:t>and high</w:t>
      </w:r>
      <w:r w:rsidR="00FC159F">
        <w:rPr>
          <w:rFonts w:ascii="Times New Roman" w:hAnsi="Times New Roman" w:cs="Times New Roman"/>
          <w:sz w:val="24"/>
          <w:szCs w:val="24"/>
        </w:rPr>
        <w:t>er</w:t>
      </w:r>
      <w:r w:rsidR="00022298">
        <w:rPr>
          <w:rFonts w:ascii="Times New Roman" w:hAnsi="Times New Roman" w:cs="Times New Roman"/>
          <w:sz w:val="24"/>
          <w:szCs w:val="24"/>
        </w:rPr>
        <w:t xml:space="preserve"> environmental tax</w:t>
      </w:r>
      <w:r>
        <w:rPr>
          <w:rFonts w:ascii="Times New Roman" w:hAnsi="Times New Roman" w:cs="Times New Roman"/>
          <w:sz w:val="24"/>
          <w:szCs w:val="24"/>
        </w:rPr>
        <w:t>es</w:t>
      </w:r>
      <w:r w:rsidRPr="00C35370">
        <w:rPr>
          <w:rFonts w:ascii="Times New Roman" w:hAnsi="Times New Roman" w:cs="Times New Roman"/>
          <w:sz w:val="24"/>
          <w:szCs w:val="24"/>
        </w:rPr>
        <w:t xml:space="preserve"> regime</w:t>
      </w:r>
      <w:r>
        <w:rPr>
          <w:rFonts w:ascii="Times New Roman" w:hAnsi="Times New Roman" w:cs="Times New Roman"/>
          <w:sz w:val="24"/>
          <w:szCs w:val="24"/>
        </w:rPr>
        <w:t>s</w:t>
      </w:r>
      <w:r w:rsidR="00022298">
        <w:rPr>
          <w:rFonts w:ascii="Times New Roman" w:hAnsi="Times New Roman" w:cs="Times New Roman"/>
          <w:sz w:val="24"/>
          <w:szCs w:val="24"/>
        </w:rPr>
        <w:t>. Th</w:t>
      </w:r>
      <w:r w:rsidR="00FC159F">
        <w:rPr>
          <w:rFonts w:ascii="Times New Roman" w:hAnsi="Times New Roman" w:cs="Times New Roman"/>
          <w:sz w:val="24"/>
          <w:szCs w:val="24"/>
        </w:rPr>
        <w:t xml:space="preserve">ese </w:t>
      </w:r>
      <w:r>
        <w:rPr>
          <w:rFonts w:ascii="Times New Roman" w:hAnsi="Times New Roman" w:cs="Times New Roman"/>
          <w:sz w:val="24"/>
          <w:szCs w:val="24"/>
        </w:rPr>
        <w:t xml:space="preserve">two </w:t>
      </w:r>
      <w:r w:rsidR="00FC159F">
        <w:rPr>
          <w:rFonts w:ascii="Times New Roman" w:hAnsi="Times New Roman" w:cs="Times New Roman"/>
          <w:sz w:val="24"/>
          <w:szCs w:val="24"/>
        </w:rPr>
        <w:t>regimes are</w:t>
      </w:r>
      <w:r>
        <w:rPr>
          <w:rFonts w:ascii="Times New Roman" w:hAnsi="Times New Roman" w:cs="Times New Roman"/>
          <w:sz w:val="24"/>
          <w:szCs w:val="24"/>
        </w:rPr>
        <w:t xml:space="preserve"> dependent on whether the threshold variable is less or more than the estimated value. Furthermore, the coefficients, </w:t>
      </w:r>
      <w:r>
        <w:rPr>
          <w:rFonts w:ascii="Times New Roman" w:hAnsi="Times New Roman" w:cs="Times New Roman"/>
          <w:position w:val="-12"/>
          <w:sz w:val="24"/>
          <w:szCs w:val="24"/>
        </w:rPr>
        <w:object w:dxaOrig="255" w:dyaOrig="360" w14:anchorId="581BA52E">
          <v:shape id="_x0000_i1034" type="#_x0000_t75" style="width:12.75pt;height:18pt" o:ole="">
            <v:imagedata r:id="rId28" o:title=""/>
          </v:shape>
          <o:OLEObject Type="Embed" ProgID="Equation.DSMT4" ShapeID="_x0000_i1034" DrawAspect="Content" ObjectID="_1770110295" r:id="rId29"/>
        </w:object>
      </w:r>
      <w:r w:rsidRPr="007A116E">
        <w:rPr>
          <w:rFonts w:ascii="Times New Roman" w:hAnsi="Times New Roman" w:cs="Times New Roman"/>
          <w:sz w:val="24"/>
          <w:szCs w:val="24"/>
        </w:rPr>
        <w:t xml:space="preserve"> and </w:t>
      </w:r>
      <w:r>
        <w:rPr>
          <w:rFonts w:ascii="Times New Roman" w:hAnsi="Times New Roman" w:cs="Times New Roman"/>
          <w:position w:val="-12"/>
          <w:sz w:val="24"/>
          <w:szCs w:val="24"/>
        </w:rPr>
        <w:object w:dxaOrig="300" w:dyaOrig="360" w14:anchorId="379CBB8A">
          <v:shape id="_x0000_i1035" type="#_x0000_t75" style="width:15pt;height:18pt" o:ole="">
            <v:imagedata r:id="rId30" o:title=""/>
          </v:shape>
          <o:OLEObject Type="Embed" ProgID="Equation.DSMT4" ShapeID="_x0000_i1035" DrawAspect="Content" ObjectID="_1770110296" r:id="rId31"/>
        </w:object>
      </w:r>
      <w:r>
        <w:rPr>
          <w:rFonts w:ascii="Times New Roman" w:hAnsi="Times New Roman" w:cs="Times New Roman"/>
          <w:sz w:val="24"/>
          <w:szCs w:val="24"/>
        </w:rPr>
        <w:t xml:space="preserve"> capture the effects of low</w:t>
      </w:r>
      <w:r w:rsidR="00FC159F">
        <w:rPr>
          <w:rFonts w:ascii="Times New Roman" w:hAnsi="Times New Roman" w:cs="Times New Roman"/>
          <w:sz w:val="24"/>
          <w:szCs w:val="24"/>
        </w:rPr>
        <w:t>er</w:t>
      </w:r>
      <w:r>
        <w:rPr>
          <w:rFonts w:ascii="Times New Roman" w:hAnsi="Times New Roman" w:cs="Times New Roman"/>
          <w:sz w:val="24"/>
          <w:szCs w:val="24"/>
        </w:rPr>
        <w:t xml:space="preserve"> and high</w:t>
      </w:r>
      <w:r w:rsidR="00FC159F">
        <w:rPr>
          <w:rFonts w:ascii="Times New Roman" w:hAnsi="Times New Roman" w:cs="Times New Roman"/>
          <w:sz w:val="24"/>
          <w:szCs w:val="24"/>
        </w:rPr>
        <w:t>er environmental tax</w:t>
      </w:r>
      <w:r>
        <w:rPr>
          <w:rFonts w:ascii="Times New Roman" w:hAnsi="Times New Roman" w:cs="Times New Roman"/>
          <w:sz w:val="24"/>
          <w:szCs w:val="24"/>
        </w:rPr>
        <w:t xml:space="preserve"> regimes on </w:t>
      </w:r>
      <w:r w:rsidR="00FC159F">
        <w:rPr>
          <w:rFonts w:ascii="Times New Roman" w:hAnsi="Times New Roman" w:cs="Times New Roman"/>
          <w:sz w:val="24"/>
          <w:szCs w:val="24"/>
        </w:rPr>
        <w:t xml:space="preserve">international tourism </w:t>
      </w:r>
      <w:r w:rsidR="00FC159F">
        <w:rPr>
          <w:rFonts w:ascii="Times New Roman" w:hAnsi="Times New Roman" w:cs="Times New Roman"/>
          <w:sz w:val="24"/>
          <w:szCs w:val="24"/>
        </w:rPr>
        <w:lastRenderedPageBreak/>
        <w:t>receipts-</w:t>
      </w:r>
      <w:r>
        <w:rPr>
          <w:rFonts w:ascii="Times New Roman" w:hAnsi="Times New Roman" w:cs="Times New Roman"/>
          <w:sz w:val="24"/>
          <w:szCs w:val="24"/>
        </w:rPr>
        <w:t>environment</w:t>
      </w:r>
      <w:r w:rsidR="00FC159F">
        <w:rPr>
          <w:rFonts w:ascii="Times New Roman" w:hAnsi="Times New Roman" w:cs="Times New Roman"/>
          <w:sz w:val="24"/>
          <w:szCs w:val="24"/>
        </w:rPr>
        <w:t xml:space="preserve"> nexus, with</w:t>
      </w:r>
      <w:r>
        <w:rPr>
          <w:rFonts w:ascii="Times New Roman" w:hAnsi="Times New Roman" w:cs="Times New Roman"/>
          <w:sz w:val="24"/>
          <w:szCs w:val="24"/>
        </w:rPr>
        <w:t xml:space="preserve"> the coefficient</w:t>
      </w:r>
      <w:r w:rsidR="00FC159F">
        <w:rPr>
          <w:rFonts w:ascii="Times New Roman" w:hAnsi="Times New Roman" w:cs="Times New Roman"/>
          <w:sz w:val="24"/>
          <w:szCs w:val="24"/>
        </w:rPr>
        <w:t xml:space="preserve"> of</w:t>
      </w:r>
      <w:r>
        <w:rPr>
          <w:rFonts w:ascii="Times New Roman" w:hAnsi="Times New Roman" w:cs="Times New Roman"/>
          <w:sz w:val="24"/>
          <w:szCs w:val="24"/>
        </w:rPr>
        <w:t xml:space="preserve"> </w:t>
      </w:r>
      <w:r>
        <w:rPr>
          <w:rFonts w:ascii="Times New Roman" w:hAnsi="Times New Roman" w:cs="Times New Roman"/>
          <w:position w:val="-10"/>
          <w:sz w:val="24"/>
          <w:szCs w:val="24"/>
        </w:rPr>
        <w:object w:dxaOrig="195" w:dyaOrig="255" w14:anchorId="12D37135">
          <v:shape id="_x0000_i1036" type="#_x0000_t75" style="width:9.75pt;height:12.75pt" o:ole="">
            <v:imagedata r:id="rId24" o:title=""/>
          </v:shape>
          <o:OLEObject Type="Embed" ProgID="Equation.DSMT4" ShapeID="_x0000_i1036" DrawAspect="Content" ObjectID="_1770110297" r:id="rId32"/>
        </w:object>
      </w:r>
      <w:r>
        <w:rPr>
          <w:rFonts w:ascii="Times New Roman" w:hAnsi="Times New Roman" w:cs="Times New Roman"/>
          <w:sz w:val="24"/>
          <w:szCs w:val="24"/>
        </w:rPr>
        <w:t xml:space="preserve"> not known prior to the estimation. The equivalent compact r</w:t>
      </w:r>
      <w:r w:rsidR="00C1739D">
        <w:rPr>
          <w:rFonts w:ascii="Times New Roman" w:hAnsi="Times New Roman" w:cs="Times New Roman"/>
          <w:sz w:val="24"/>
          <w:szCs w:val="24"/>
        </w:rPr>
        <w:t>epresentation of Equation (2</w:t>
      </w:r>
      <w:r>
        <w:rPr>
          <w:rFonts w:ascii="Times New Roman" w:hAnsi="Times New Roman" w:cs="Times New Roman"/>
          <w:sz w:val="24"/>
          <w:szCs w:val="24"/>
        </w:rPr>
        <w:t>) is as follows:</w:t>
      </w:r>
    </w:p>
    <w:p w14:paraId="525AD001" w14:textId="77777777" w:rsidR="00EC1C77" w:rsidRDefault="00DF7D72" w:rsidP="00130DEB">
      <w:pPr>
        <w:spacing w:before="120" w:after="120" w:line="240" w:lineRule="auto"/>
        <w:jc w:val="both"/>
        <w:rPr>
          <w:rFonts w:ascii="Times New Roman" w:hAnsi="Times New Roman" w:cs="Times New Roman"/>
          <w:sz w:val="24"/>
          <w:szCs w:val="24"/>
        </w:rPr>
      </w:pPr>
      <w:r>
        <w:rPr>
          <w:position w:val="-12"/>
        </w:rPr>
        <w:object w:dxaOrig="7920" w:dyaOrig="360" w14:anchorId="54AAAA16">
          <v:shape id="_x0000_i1037" type="#_x0000_t75" style="width:396.75pt;height:18pt" o:ole="">
            <v:imagedata r:id="rId33" o:title=""/>
          </v:shape>
          <o:OLEObject Type="Embed" ProgID="Equation.DSMT4" ShapeID="_x0000_i1037" DrawAspect="Content" ObjectID="_1770110298" r:id="rId34"/>
        </w:object>
      </w:r>
      <w:r>
        <w:tab/>
      </w:r>
      <w:r w:rsidR="00C1739D">
        <w:rPr>
          <w:rFonts w:ascii="Times New Roman" w:hAnsi="Times New Roman" w:cs="Times New Roman"/>
          <w:sz w:val="24"/>
          <w:szCs w:val="24"/>
        </w:rPr>
        <w:t>(3</w:t>
      </w:r>
      <w:r w:rsidRPr="00FF41F9">
        <w:rPr>
          <w:rFonts w:ascii="Times New Roman" w:hAnsi="Times New Roman" w:cs="Times New Roman"/>
          <w:sz w:val="24"/>
          <w:szCs w:val="24"/>
        </w:rPr>
        <w:t>)</w:t>
      </w:r>
    </w:p>
    <w:p w14:paraId="459BDF2B" w14:textId="3A57D9CE" w:rsidR="00BE06F5" w:rsidRPr="00130DEB" w:rsidRDefault="00DF7D72" w:rsidP="00130DEB">
      <w:pPr>
        <w:autoSpaceDE w:val="0"/>
        <w:autoSpaceDN w:val="0"/>
        <w:adjustRightInd w:val="0"/>
        <w:spacing w:after="0" w:line="240" w:lineRule="auto"/>
        <w:jc w:val="both"/>
      </w:pPr>
      <w:r w:rsidRPr="00157A85">
        <w:rPr>
          <w:rFonts w:ascii="Times New Roman" w:hAnsi="Times New Roman" w:cs="Times New Roman"/>
          <w:sz w:val="24"/>
          <w:szCs w:val="24"/>
        </w:rPr>
        <w:t xml:space="preserve">Where </w:t>
      </w:r>
      <w:r>
        <w:rPr>
          <w:rFonts w:ascii="Times New Roman" w:hAnsi="Times New Roman" w:cs="Times New Roman"/>
          <w:position w:val="-10"/>
          <w:sz w:val="24"/>
          <w:szCs w:val="24"/>
        </w:rPr>
        <w:object w:dxaOrig="420" w:dyaOrig="315" w14:anchorId="324BF1CC">
          <v:shape id="_x0000_i1038" type="#_x0000_t75" style="width:21pt;height:15pt" o:ole="">
            <v:imagedata r:id="rId35" o:title=""/>
          </v:shape>
          <o:OLEObject Type="Embed" ProgID="Equation.DSMT4" ShapeID="_x0000_i1038" DrawAspect="Content" ObjectID="_1770110299" r:id="rId36"/>
        </w:object>
      </w:r>
      <w:r w:rsidR="00FC34C6">
        <w:rPr>
          <w:rFonts w:ascii="Times New Roman" w:hAnsi="Times New Roman" w:cs="Times New Roman"/>
          <w:sz w:val="24"/>
          <w:szCs w:val="24"/>
        </w:rPr>
        <w:t xml:space="preserve">represents an indicator function. </w:t>
      </w:r>
      <w:r w:rsidRPr="00157A85">
        <w:rPr>
          <w:rFonts w:ascii="Times New Roman" w:hAnsi="Times New Roman" w:cs="Times New Roman"/>
          <w:sz w:val="24"/>
          <w:szCs w:val="24"/>
        </w:rPr>
        <w:t xml:space="preserve">Two regimes are identified, i.e. low </w:t>
      </w:r>
      <w:r w:rsidR="00FC34C6">
        <w:rPr>
          <w:rFonts w:ascii="Times New Roman" w:hAnsi="Times New Roman" w:cs="Times New Roman"/>
          <w:sz w:val="24"/>
          <w:szCs w:val="24"/>
        </w:rPr>
        <w:t xml:space="preserve">environmental taxes </w:t>
      </w:r>
      <w:r w:rsidRPr="00157A85">
        <w:rPr>
          <w:rFonts w:ascii="Times New Roman" w:hAnsi="Times New Roman" w:cs="Times New Roman"/>
          <w:sz w:val="24"/>
          <w:szCs w:val="24"/>
        </w:rPr>
        <w:t>and high</w:t>
      </w:r>
      <w:r w:rsidR="00FC34C6">
        <w:rPr>
          <w:rFonts w:ascii="Times New Roman" w:hAnsi="Times New Roman" w:cs="Times New Roman"/>
          <w:sz w:val="24"/>
          <w:szCs w:val="24"/>
        </w:rPr>
        <w:t xml:space="preserve"> environmental taxes</w:t>
      </w:r>
      <w:r w:rsidRPr="00157A85">
        <w:rPr>
          <w:rFonts w:ascii="Times New Roman" w:hAnsi="Times New Roman" w:cs="Times New Roman"/>
          <w:sz w:val="24"/>
          <w:szCs w:val="24"/>
        </w:rPr>
        <w:t xml:space="preserve">. This implies that the indicator function, </w:t>
      </w:r>
      <m:oMath>
        <m:r>
          <w:rPr>
            <w:rFonts w:ascii="Cambria Math" w:hAnsi="Cambria Math" w:cs="Times New Roman"/>
            <w:sz w:val="24"/>
            <w:szCs w:val="24"/>
          </w:rPr>
          <m:t>I</m:t>
        </m:r>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lnETAX</m:t>
                </m:r>
              </m:e>
              <m:sub>
                <m:r>
                  <w:rPr>
                    <w:rFonts w:ascii="Cambria Math" w:hAnsi="Cambria Math" w:cs="Times New Roman"/>
                    <w:sz w:val="24"/>
                    <w:szCs w:val="24"/>
                  </w:rPr>
                  <m:t>it</m:t>
                </m:r>
              </m:sub>
            </m:sSub>
          </m:e>
        </m:d>
      </m:oMath>
      <w:r w:rsidRPr="00157A85">
        <w:rPr>
          <w:rFonts w:ascii="Times New Roman" w:eastAsiaTheme="minorEastAsia" w:hAnsi="Times New Roman" w:cs="Times New Roman"/>
          <w:sz w:val="24"/>
          <w:szCs w:val="24"/>
        </w:rPr>
        <w:t xml:space="preserve"> is captured by </w:t>
      </w:r>
      <w:r>
        <w:rPr>
          <w:rFonts w:ascii="Times New Roman" w:eastAsiaTheme="minorEastAsia" w:hAnsi="Times New Roman" w:cs="Times New Roman"/>
          <w:sz w:val="24"/>
          <w:szCs w:val="24"/>
        </w:rPr>
        <w:t>0 if</w:t>
      </w:r>
      <w:r w:rsidR="00FC34C6">
        <w:rPr>
          <w:rFonts w:ascii="Times New Roman" w:eastAsiaTheme="minorEastAsia" w:hAnsi="Times New Roman" w:cs="Times New Roman"/>
          <w:sz w:val="24"/>
          <w:szCs w:val="24"/>
        </w:rPr>
        <w:t xml:space="preserve"> </w:t>
      </w:r>
      <w:r w:rsidRPr="00157A85">
        <w:rPr>
          <w:rFonts w:ascii="Times New Roman" w:eastAsiaTheme="minorEastAsia" w:hAnsi="Times New Roman" w:cs="Times New Roman"/>
          <w:sz w:val="24"/>
          <w:szCs w:val="24"/>
        </w:rPr>
        <w:t xml:space="preserve"> </w:t>
      </w:r>
      <w:r>
        <w:rPr>
          <w:position w:val="-12"/>
        </w:rPr>
        <w:object w:dxaOrig="1380" w:dyaOrig="360" w14:anchorId="2687F6DA">
          <v:shape id="_x0000_i1039" type="#_x0000_t75" style="width:69pt;height:18pt" o:ole="">
            <v:imagedata r:id="rId37" o:title=""/>
          </v:shape>
          <o:OLEObject Type="Embed" ProgID="Equation.DSMT4" ShapeID="_x0000_i1039" DrawAspect="Content" ObjectID="_1770110300" r:id="rId38"/>
        </w:object>
      </w:r>
      <w:r>
        <w:rPr>
          <w:rFonts w:ascii="Times New Roman" w:eastAsiaTheme="minorEastAsia" w:hAnsi="Times New Roman" w:cs="Times New Roman"/>
          <w:sz w:val="24"/>
          <w:szCs w:val="24"/>
        </w:rPr>
        <w:t xml:space="preserve"> and</w:t>
      </w:r>
      <w:r w:rsidR="00FC34C6">
        <w:rPr>
          <w:rFonts w:ascii="Times New Roman" w:eastAsiaTheme="minorEastAsia" w:hAnsi="Times New Roman" w:cs="Times New Roman"/>
          <w:sz w:val="24"/>
          <w:szCs w:val="24"/>
        </w:rPr>
        <w:t xml:space="preserve"> </w:t>
      </w:r>
      <w:r w:rsidRPr="00157A85">
        <w:rPr>
          <w:rFonts w:ascii="Times New Roman" w:eastAsiaTheme="minorEastAsia" w:hAnsi="Times New Roman" w:cs="Times New Roman"/>
          <w:sz w:val="24"/>
          <w:szCs w:val="24"/>
        </w:rPr>
        <w:t>1</w:t>
      </w:r>
      <w:r w:rsidR="00FC34C6">
        <w:rPr>
          <w:rFonts w:ascii="Times New Roman" w:eastAsiaTheme="minorEastAsia" w:hAnsi="Times New Roman" w:cs="Times New Roman"/>
          <w:sz w:val="24"/>
          <w:szCs w:val="24"/>
        </w:rPr>
        <w:t xml:space="preserve"> </w:t>
      </w:r>
      <w:r w:rsidRPr="00157A85">
        <w:rPr>
          <w:rFonts w:ascii="Times New Roman" w:eastAsiaTheme="minorEastAsia" w:hAnsi="Times New Roman" w:cs="Times New Roman"/>
          <w:sz w:val="24"/>
          <w:szCs w:val="24"/>
        </w:rPr>
        <w:t>if</w:t>
      </w:r>
      <w:r w:rsidR="00FC34C6">
        <w:t xml:space="preserve"> </w:t>
      </w:r>
      <w:r>
        <w:rPr>
          <w:position w:val="-12"/>
        </w:rPr>
        <w:object w:dxaOrig="1380" w:dyaOrig="360" w14:anchorId="4915D792">
          <v:shape id="_x0000_i1040" type="#_x0000_t75" style="width:69pt;height:18pt" o:ole="">
            <v:imagedata r:id="rId39" o:title=""/>
          </v:shape>
          <o:OLEObject Type="Embed" ProgID="Equation.DSMT4" ShapeID="_x0000_i1040" DrawAspect="Content" ObjectID="_1770110301" r:id="rId40"/>
        </w:object>
      </w:r>
      <w:r>
        <w:t>.</w:t>
      </w:r>
    </w:p>
    <w:p w14:paraId="6BE8AF40" w14:textId="295781E4" w:rsidR="00AB7B70" w:rsidRPr="00C51D94" w:rsidRDefault="00DF7D72" w:rsidP="00130DEB">
      <w:pPr>
        <w:spacing w:before="240" w:after="0" w:line="240" w:lineRule="auto"/>
        <w:jc w:val="both"/>
        <w:rPr>
          <w:rFonts w:ascii="Times New Roman" w:hAnsi="Times New Roman" w:cs="Times New Roman"/>
          <w:sz w:val="24"/>
          <w:szCs w:val="24"/>
        </w:rPr>
      </w:pPr>
      <w:r w:rsidRPr="00C51D94">
        <w:rPr>
          <w:rFonts w:ascii="Times New Roman" w:hAnsi="Times New Roman" w:cs="Times New Roman"/>
          <w:sz w:val="24"/>
          <w:szCs w:val="24"/>
        </w:rPr>
        <w:t xml:space="preserve">Furthermore, to check the robustness of the panel threshold model, we apply the quantile regression of </w:t>
      </w:r>
      <w:proofErr w:type="spellStart"/>
      <w:r w:rsidRPr="00C51D94">
        <w:rPr>
          <w:rFonts w:ascii="Times New Roman" w:hAnsi="Times New Roman" w:cs="Times New Roman"/>
          <w:sz w:val="24"/>
          <w:szCs w:val="24"/>
        </w:rPr>
        <w:t>Machodo</w:t>
      </w:r>
      <w:proofErr w:type="spellEnd"/>
      <w:r w:rsidRPr="00C51D94">
        <w:rPr>
          <w:rFonts w:ascii="Times New Roman" w:hAnsi="Times New Roman" w:cs="Times New Roman"/>
          <w:sz w:val="24"/>
          <w:szCs w:val="24"/>
        </w:rPr>
        <w:t xml:space="preserve"> and Silva (2019) which is also known as the Method of Moments Quantile Regression (MMQR). Unlike the panel threshold model, MMQR allows the effects of environmental taxes on the tourism-environmental pollution nexus to be examined across quantiles distribution. In other words, it makes use of all the information in the distribution as compared with the conditional mean method of the panel threshold model. Therefore, the basic MMQR model is as follows:</w:t>
      </w:r>
    </w:p>
    <w:p w14:paraId="58980BE1" w14:textId="77777777" w:rsidR="00AB7B70" w:rsidRPr="00C51D94" w:rsidRDefault="00DF7D72" w:rsidP="00130DEB">
      <w:pPr>
        <w:tabs>
          <w:tab w:val="left" w:pos="1701"/>
        </w:tabs>
        <w:spacing w:before="120" w:after="120" w:line="240" w:lineRule="auto"/>
        <w:jc w:val="both"/>
        <w:rPr>
          <w:rFonts w:ascii="Times New Roman" w:hAnsi="Times New Roman" w:cs="Times New Roman"/>
          <w:sz w:val="24"/>
          <w:szCs w:val="24"/>
        </w:rPr>
      </w:pPr>
      <w:r w:rsidRPr="00C51D94">
        <w:rPr>
          <w:rFonts w:ascii="Times New Roman" w:hAnsi="Times New Roman" w:cs="Times New Roman"/>
          <w:sz w:val="24"/>
          <w:szCs w:val="24"/>
        </w:rPr>
        <w:tab/>
      </w:r>
      <w:r>
        <w:rPr>
          <w:rFonts w:ascii="Times New Roman" w:hAnsi="Times New Roman" w:cs="Times New Roman"/>
          <w:position w:val="-14"/>
          <w:sz w:val="24"/>
          <w:szCs w:val="24"/>
        </w:rPr>
        <w:object w:dxaOrig="3060" w:dyaOrig="405" w14:anchorId="65FBD5BA">
          <v:shape id="_x0000_i1041" type="#_x0000_t75" style="width:153pt;height:20.25pt" o:ole="">
            <v:imagedata r:id="rId41" o:title=""/>
          </v:shape>
          <o:OLEObject Type="Embed" ProgID="Equation.DSMT4" ShapeID="_x0000_i1041" DrawAspect="Content" ObjectID="_1770110302" r:id="rId42"/>
        </w:object>
      </w:r>
      <m:oMath>
        <m:r>
          <w:rPr>
            <w:rFonts w:ascii="Cambria Math" w:eastAsiaTheme="minorEastAsia" w:hAnsi="Cambria Math" w:cs="Times New Roman"/>
            <w:sz w:val="24"/>
            <w:szCs w:val="24"/>
          </w:rPr>
          <m:t xml:space="preserve"> </m:t>
        </m:r>
      </m:oMath>
      <w:r w:rsidR="00C1739D">
        <w:rPr>
          <w:rFonts w:ascii="Times New Roman" w:eastAsiaTheme="minorEastAsia" w:hAnsi="Times New Roman" w:cs="Times New Roman"/>
          <w:sz w:val="24"/>
          <w:szCs w:val="24"/>
        </w:rPr>
        <w:t xml:space="preserve">     </w:t>
      </w:r>
      <w:r w:rsidR="00C1739D">
        <w:rPr>
          <w:rFonts w:ascii="Times New Roman" w:eastAsiaTheme="minorEastAsia" w:hAnsi="Times New Roman" w:cs="Times New Roman"/>
          <w:sz w:val="24"/>
          <w:szCs w:val="24"/>
        </w:rPr>
        <w:tab/>
      </w:r>
      <w:r w:rsidR="00C1739D">
        <w:rPr>
          <w:rFonts w:ascii="Times New Roman" w:eastAsiaTheme="minorEastAsia" w:hAnsi="Times New Roman" w:cs="Times New Roman"/>
          <w:sz w:val="24"/>
          <w:szCs w:val="24"/>
        </w:rPr>
        <w:tab/>
      </w:r>
      <w:r w:rsidR="00C1739D">
        <w:rPr>
          <w:rFonts w:ascii="Times New Roman" w:eastAsiaTheme="minorEastAsia" w:hAnsi="Times New Roman" w:cs="Times New Roman"/>
          <w:sz w:val="24"/>
          <w:szCs w:val="24"/>
        </w:rPr>
        <w:tab/>
      </w:r>
      <w:r w:rsidR="00C1739D">
        <w:rPr>
          <w:rFonts w:ascii="Times New Roman" w:eastAsiaTheme="minorEastAsia" w:hAnsi="Times New Roman" w:cs="Times New Roman"/>
          <w:sz w:val="24"/>
          <w:szCs w:val="24"/>
        </w:rPr>
        <w:tab/>
        <w:t>(4</w:t>
      </w:r>
      <w:r w:rsidRPr="00C51D94">
        <w:rPr>
          <w:rFonts w:ascii="Times New Roman" w:eastAsiaTheme="minorEastAsia" w:hAnsi="Times New Roman" w:cs="Times New Roman"/>
          <w:sz w:val="24"/>
          <w:szCs w:val="24"/>
        </w:rPr>
        <w:t>)</w:t>
      </w:r>
    </w:p>
    <w:p w14:paraId="6CFBA26E" w14:textId="4C40BB39" w:rsidR="00AB7B70" w:rsidRPr="00130DEB" w:rsidRDefault="00DF7D72" w:rsidP="00130DEB">
      <w:pPr>
        <w:autoSpaceDE w:val="0"/>
        <w:autoSpaceDN w:val="0"/>
        <w:adjustRightInd w:val="0"/>
        <w:spacing w:after="0" w:line="240" w:lineRule="auto"/>
        <w:jc w:val="both"/>
        <w:rPr>
          <w:rFonts w:ascii="Times New Roman" w:eastAsiaTheme="minorEastAsia" w:hAnsi="Times New Roman" w:cs="Times New Roman"/>
          <w:sz w:val="24"/>
          <w:szCs w:val="24"/>
        </w:rPr>
      </w:pPr>
      <w:r w:rsidRPr="00C51D94">
        <w:rPr>
          <w:rFonts w:ascii="Times New Roman" w:hAnsi="Times New Roman" w:cs="Times New Roman"/>
          <w:sz w:val="24"/>
          <w:szCs w:val="24"/>
        </w:rPr>
        <w:t xml:space="preserve">where  </w:t>
      </w:r>
      <m:oMath>
        <m:r>
          <w:rPr>
            <w:rFonts w:ascii="Cambria Math" w:hAnsi="Cambria Math" w:cs="Times New Roman"/>
            <w:sz w:val="24"/>
            <w:szCs w:val="24"/>
          </w:rPr>
          <m:t xml:space="preserve">(α,  </m:t>
        </m:r>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r>
          <w:rPr>
            <w:rFonts w:ascii="Cambria Math" w:hAnsi="Cambria Math" w:cs="Times New Roman"/>
            <w:sz w:val="24"/>
            <w:szCs w:val="24"/>
          </w:rPr>
          <m:t xml:space="preserve">,  δ,  </m:t>
        </m:r>
        <m:sSup>
          <m:sSupPr>
            <m:ctrlPr>
              <w:rPr>
                <w:rFonts w:ascii="Cambria Math" w:hAnsi="Cambria Math" w:cs="Times New Roman"/>
                <w:i/>
                <w:sz w:val="24"/>
                <w:szCs w:val="24"/>
              </w:rPr>
            </m:ctrlPr>
          </m:sSupPr>
          <m:e>
            <m:r>
              <w:rPr>
                <w:rFonts w:ascii="Cambria Math" w:hAnsi="Cambria Math" w:cs="Times New Roman"/>
                <w:sz w:val="24"/>
                <w:szCs w:val="24"/>
              </w:rPr>
              <m:t>γ</m:t>
            </m:r>
          </m:e>
          <m:sup>
            <m:r>
              <w:rPr>
                <w:rFonts w:ascii="Cambria Math" w:hAnsi="Cambria Math" w:cs="Times New Roman"/>
                <w:sz w:val="24"/>
                <w:szCs w:val="24"/>
              </w:rPr>
              <m:t>'</m:t>
            </m:r>
          </m:sup>
        </m:sSup>
        <m:r>
          <w:rPr>
            <w:rFonts w:ascii="Cambria Math" w:hAnsi="Cambria Math" w:cs="Times New Roman"/>
            <w:sz w:val="24"/>
            <w:szCs w:val="24"/>
          </w:rPr>
          <m:t>)'</m:t>
        </m:r>
      </m:oMath>
      <w:r w:rsidRPr="00C51D94">
        <w:rPr>
          <w:rFonts w:ascii="Times New Roman" w:hAnsi="Times New Roman" w:cs="Times New Roman"/>
          <w:sz w:val="24"/>
          <w:szCs w:val="24"/>
        </w:rPr>
        <w:t xml:space="preserve"> are unknown parameters, </w:t>
      </w:r>
      <m:oMath>
        <m:r>
          <w:rPr>
            <w:rFonts w:ascii="Cambria Math" w:hAnsi="Cambria Math" w:cs="Times New Roman"/>
            <w:sz w:val="24"/>
            <w:szCs w:val="24"/>
          </w:rPr>
          <m:t xml:space="preserve"> </m:t>
        </m:r>
        <m:r>
          <w:rPr>
            <w:rFonts w:ascii="Cambria Math" w:eastAsiaTheme="minorEastAsia" w:hAnsi="Cambria Math" w:cs="Times New Roman"/>
            <w:sz w:val="24"/>
            <w:szCs w:val="24"/>
          </w:rPr>
          <m:t>i=1,…,k</m:t>
        </m:r>
      </m:oMath>
      <w:r w:rsidRPr="00C51D94">
        <w:rPr>
          <w:rFonts w:ascii="Times New Roman" w:hAnsi="Times New Roman" w:cs="Times New Roman"/>
          <w:sz w:val="24"/>
          <w:szCs w:val="24"/>
        </w:rPr>
        <w:t xml:space="preserve"> where</w:t>
      </w:r>
      <w:r w:rsidRPr="00C51D94">
        <w:rPr>
          <w:rFonts w:ascii="Times New Roman" w:eastAsiaTheme="minorEastAsia" w:hAnsi="Times New Roman" w:cs="Times New Roman"/>
          <w:sz w:val="24"/>
          <w:szCs w:val="24"/>
        </w:rPr>
        <w:t xml:space="preserve"> country-specific </w:t>
      </w:r>
      <w:proofErr w:type="gramStart"/>
      <w:r w:rsidRPr="00C51D94">
        <w:rPr>
          <w:rFonts w:ascii="Times New Roman" w:eastAsiaTheme="minorEastAsia" w:hAnsi="Times New Roman" w:cs="Times New Roman"/>
          <w:i/>
          <w:sz w:val="24"/>
          <w:szCs w:val="24"/>
        </w:rPr>
        <w:t xml:space="preserve">i </w:t>
      </w:r>
      <w:r w:rsidRPr="00C51D94">
        <w:rPr>
          <w:rFonts w:ascii="Times New Roman" w:eastAsiaTheme="minorEastAsia" w:hAnsi="Times New Roman" w:cs="Times New Roman"/>
          <w:sz w:val="24"/>
          <w:szCs w:val="24"/>
        </w:rPr>
        <w:t xml:space="preserve"> represents</w:t>
      </w:r>
      <w:proofErr w:type="gramEnd"/>
      <w:r w:rsidRPr="00C51D94">
        <w:rPr>
          <w:rFonts w:ascii="Times New Roman" w:eastAsiaTheme="minorEastAsia" w:hAnsi="Times New Roman" w:cs="Times New Roman"/>
          <w:sz w:val="24"/>
          <w:szCs w:val="24"/>
        </w:rPr>
        <w:t xml:space="preserve"> fixed-effects and time, </w:t>
      </w:r>
      <m:oMath>
        <m:r>
          <w:rPr>
            <w:rFonts w:ascii="Cambria Math" w:eastAsiaTheme="minorEastAsia" w:hAnsi="Cambria Math" w:cs="Times New Roman"/>
            <w:sz w:val="24"/>
            <w:szCs w:val="24"/>
          </w:rPr>
          <m:t>t=1.</m:t>
        </m:r>
      </m:oMath>
      <w:r w:rsidR="00C51D9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Z'</m:t>
        </m:r>
      </m:oMath>
      <w:r w:rsidRPr="00C51D94">
        <w:rPr>
          <w:rFonts w:ascii="Times New Roman" w:hAnsi="Times New Roman" w:cs="Times New Roman"/>
          <w:sz w:val="24"/>
          <w:szCs w:val="24"/>
        </w:rPr>
        <w:t xml:space="preserve"> is the</w:t>
      </w:r>
      <w:r w:rsidRPr="00C51D94">
        <w:rPr>
          <w:rFonts w:ascii="Times New Roman" w:eastAsiaTheme="minorEastAsia" w:hAnsi="Times New Roman" w:cs="Times New Roman"/>
          <w:sz w:val="24"/>
          <w:szCs w:val="24"/>
        </w:rPr>
        <w:t xml:space="preserve"> </w:t>
      </w:r>
      <w:r w:rsidRPr="00C51D94">
        <w:rPr>
          <w:rFonts w:ascii="Times New Roman" w:eastAsiaTheme="minorEastAsia" w:hAnsi="Times New Roman" w:cs="Times New Roman"/>
          <w:i/>
          <w:sz w:val="24"/>
          <w:szCs w:val="24"/>
        </w:rPr>
        <w:t>k-</w:t>
      </w:r>
      <w:r w:rsidRPr="00C51D94">
        <w:rPr>
          <w:rFonts w:ascii="Times New Roman" w:eastAsiaTheme="minorEastAsia" w:hAnsi="Times New Roman" w:cs="Times New Roman"/>
          <w:sz w:val="24"/>
          <w:szCs w:val="24"/>
        </w:rPr>
        <w:t xml:space="preserve">vector of parameters that are known, which are the differentiable transformations of the components of </w:t>
      </w:r>
      <w:r w:rsidRPr="00C51D94">
        <w:rPr>
          <w:rFonts w:ascii="Times New Roman" w:hAnsi="Times New Roman" w:cs="Times New Roman"/>
          <w:i/>
          <w:noProof/>
          <w:sz w:val="24"/>
          <w:szCs w:val="24"/>
        </w:rPr>
        <w:t>X</w:t>
      </w:r>
      <w:r w:rsidRPr="00C51D94">
        <w:rPr>
          <w:rFonts w:ascii="Times New Roman" w:hAnsi="Times New Roman" w:cs="Times New Roman"/>
          <w:i/>
          <w:noProof/>
          <w:sz w:val="24"/>
          <w:szCs w:val="24"/>
          <w:vertAlign w:val="subscript"/>
        </w:rPr>
        <w:t>it</w:t>
      </w:r>
      <w:r w:rsidRPr="00C51D94">
        <w:rPr>
          <w:rFonts w:ascii="Times New Roman" w:eastAsiaTheme="minorEastAsia" w:hAnsi="Times New Roman" w:cs="Times New Roman"/>
          <w:sz w:val="24"/>
          <w:szCs w:val="24"/>
        </w:rPr>
        <w:t xml:space="preserve"> . The element </w:t>
      </w:r>
      <m:oMath>
        <m:r>
          <w:rPr>
            <w:rFonts w:ascii="Cambria Math" w:eastAsiaTheme="minorEastAsia" w:hAnsi="Cambria Math" w:cs="Times New Roman"/>
            <w:sz w:val="24"/>
            <w:szCs w:val="24"/>
          </w:rPr>
          <m:t>l</m:t>
        </m:r>
      </m:oMath>
      <w:r w:rsidRPr="00C51D94">
        <w:rPr>
          <w:rFonts w:ascii="Times New Roman" w:eastAsiaTheme="minorEastAsia" w:hAnsi="Times New Roman" w:cs="Times New Roman"/>
          <w:sz w:val="24"/>
          <w:szCs w:val="24"/>
        </w:rPr>
        <w:t xml:space="preserve"> is perhaps defined by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oMath>
      <w:r w:rsidRPr="00C51D94">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l=1,…,k</m:t>
        </m:r>
      </m:oMath>
      <w:r w:rsidRPr="00C51D94">
        <w:rPr>
          <w:rFonts w:ascii="Times New Roman" w:eastAsiaTheme="minorEastAsia" w:hAnsi="Times New Roman" w:cs="Times New Roman"/>
          <w:sz w:val="24"/>
          <w:szCs w:val="24"/>
        </w:rPr>
        <w:t xml:space="preserve">. The probability </w:t>
      </w:r>
      <w:proofErr w:type="gramStart"/>
      <w:r w:rsidRPr="00C51D94">
        <w:rPr>
          <w:rFonts w:ascii="Times New Roman" w:eastAsiaTheme="minorEastAsia" w:hAnsi="Times New Roman" w:cs="Times New Roman"/>
          <w:sz w:val="24"/>
          <w:szCs w:val="24"/>
        </w:rPr>
        <w:t>P{</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m:t>
            </m:r>
          </m:sub>
        </m:sSub>
      </m:oMath>
      <w:r w:rsidRPr="00C51D94">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xml:space="preserve">γ&gt;0}=1, </m:t>
        </m:r>
      </m:oMath>
      <w:r w:rsidRPr="00C51D94">
        <w:rPr>
          <w:rFonts w:ascii="Times New Roman" w:eastAsiaTheme="minorEastAsia" w:hAnsi="Times New Roman" w:cs="Times New Roman"/>
          <w:sz w:val="24"/>
          <w:szCs w:val="24"/>
        </w:rPr>
        <w:t xml:space="preserve">and </w:t>
      </w:r>
      <w:r>
        <w:rPr>
          <w:rFonts w:ascii="Times New Roman" w:hAnsi="Times New Roman" w:cs="Times New Roman"/>
          <w:i/>
          <w:noProof/>
          <w:position w:val="-12"/>
          <w:sz w:val="24"/>
          <w:szCs w:val="24"/>
        </w:rPr>
        <w:object w:dxaOrig="285" w:dyaOrig="390" w14:anchorId="09432AAC">
          <v:shape id="_x0000_i1042" type="#_x0000_t75" style="width:14.25pt;height:19.5pt;mso-width-percent:0;mso-height-percent:0;mso-width-percent:0;mso-height-percent:0" o:ole="">
            <v:imagedata r:id="rId43" o:title=""/>
          </v:shape>
          <o:OLEObject Type="Embed" ProgID="Equation.DSMT4" ShapeID="_x0000_i1042" DrawAspect="Content" ObjectID="_1770110303" r:id="rId44"/>
        </w:object>
      </w:r>
      <w:r w:rsidRPr="00C51D94">
        <w:rPr>
          <w:rFonts w:ascii="Times New Roman" w:hAnsi="Times New Roman" w:cs="Times New Roman"/>
          <w:i/>
          <w:noProof/>
          <w:sz w:val="24"/>
          <w:szCs w:val="24"/>
        </w:rPr>
        <w:t xml:space="preserve"> </w:t>
      </w:r>
      <w:r w:rsidRPr="00C51D94">
        <w:rPr>
          <w:rFonts w:ascii="Times New Roman" w:hAnsi="Times New Roman" w:cs="Times New Roman"/>
          <w:noProof/>
          <w:sz w:val="24"/>
          <w:szCs w:val="24"/>
        </w:rPr>
        <w:t>represents</w:t>
      </w:r>
      <w:r w:rsidRPr="00C51D94">
        <w:rPr>
          <w:rFonts w:ascii="Times New Roman" w:eastAsiaTheme="minorEastAsia" w:hAnsi="Times New Roman" w:cs="Times New Roman"/>
          <w:sz w:val="24"/>
          <w:szCs w:val="24"/>
        </w:rPr>
        <w:t xml:space="preserve"> error or random terms that are independently and identically distributed.</w:t>
      </w:r>
      <w:r w:rsidR="00C1739D">
        <w:rPr>
          <w:rFonts w:ascii="Times New Roman" w:hAnsi="Times New Roman" w:cs="Times New Roman"/>
          <w:sz w:val="24"/>
          <w:szCs w:val="24"/>
        </w:rPr>
        <w:t xml:space="preserve"> Equation (4</w:t>
      </w:r>
      <w:r w:rsidRPr="00C51D94">
        <w:rPr>
          <w:rFonts w:ascii="Times New Roman" w:hAnsi="Times New Roman" w:cs="Times New Roman"/>
          <w:sz w:val="24"/>
          <w:szCs w:val="24"/>
        </w:rPr>
        <w:t>)</w:t>
      </w:r>
      <w:r w:rsidRPr="00C51D94">
        <w:rPr>
          <w:rFonts w:ascii="Times New Roman" w:eastAsiaTheme="minorEastAsia" w:hAnsi="Times New Roman" w:cs="Times New Roman"/>
          <w:sz w:val="24"/>
          <w:szCs w:val="24"/>
        </w:rPr>
        <w:t xml:space="preserve"> implies </w:t>
      </w:r>
      <w:proofErr w:type="gramStart"/>
      <w:r w:rsidRPr="00C51D94">
        <w:rPr>
          <w:rFonts w:ascii="Times New Roman" w:eastAsiaTheme="minorEastAsia" w:hAnsi="Times New Roman" w:cs="Times New Roman"/>
          <w:sz w:val="24"/>
          <w:szCs w:val="24"/>
        </w:rPr>
        <w:t>that;</w:t>
      </w:r>
      <w:proofErr w:type="gramEnd"/>
    </w:p>
    <w:p w14:paraId="13E987CF" w14:textId="4ABE0942" w:rsidR="00AB7B70" w:rsidRPr="00130DEB" w:rsidRDefault="00DF7D72" w:rsidP="00130DEB">
      <w:pPr>
        <w:autoSpaceDE w:val="0"/>
        <w:autoSpaceDN w:val="0"/>
        <w:adjustRightInd w:val="0"/>
        <w:spacing w:before="120" w:after="120" w:line="240" w:lineRule="auto"/>
        <w:ind w:firstLine="720"/>
        <w:jc w:val="center"/>
        <w:rPr>
          <w:rFonts w:ascii="Times New Roman" w:hAnsi="Times New Roman" w:cs="Times New Roman"/>
          <w:sz w:val="24"/>
          <w:szCs w:val="24"/>
        </w:rPr>
      </w:pPr>
      <w:r>
        <w:rPr>
          <w:rFonts w:ascii="Times New Roman" w:hAnsi="Times New Roman" w:cs="Times New Roman"/>
          <w:position w:val="-14"/>
          <w:sz w:val="24"/>
          <w:szCs w:val="24"/>
        </w:rPr>
        <w:object w:dxaOrig="4575" w:dyaOrig="405" w14:anchorId="70C8C3C0">
          <v:shape id="_x0000_i1043" type="#_x0000_t75" style="width:228.75pt;height:20.25pt" o:ole="">
            <v:imagedata r:id="rId45" o:title=""/>
          </v:shape>
          <o:OLEObject Type="Embed" ProgID="Equation.DSMT4" ShapeID="_x0000_i1043" DrawAspect="Content" ObjectID="_1770110304" r:id="rId46"/>
        </w:object>
      </w:r>
      <w:r w:rsidR="000722C8" w:rsidRPr="00C51D94">
        <w:rPr>
          <w:rFonts w:ascii="Times New Roman" w:hAnsi="Times New Roman" w:cs="Times New Roman"/>
          <w:sz w:val="24"/>
          <w:szCs w:val="24"/>
        </w:rPr>
        <w:tab/>
      </w:r>
      <w:r w:rsidR="000722C8" w:rsidRPr="00C51D94">
        <w:rPr>
          <w:rFonts w:ascii="Times New Roman" w:hAnsi="Times New Roman" w:cs="Times New Roman"/>
          <w:sz w:val="24"/>
          <w:szCs w:val="24"/>
        </w:rPr>
        <w:tab/>
        <w:t xml:space="preserve">          </w:t>
      </w:r>
      <w:r w:rsidR="00C1739D">
        <w:rPr>
          <w:rFonts w:ascii="Times New Roman" w:hAnsi="Times New Roman" w:cs="Times New Roman"/>
          <w:sz w:val="24"/>
          <w:szCs w:val="24"/>
        </w:rPr>
        <w:t>(5</w:t>
      </w:r>
      <w:r w:rsidRPr="00C51D94">
        <w:rPr>
          <w:rFonts w:ascii="Times New Roman" w:hAnsi="Times New Roman" w:cs="Times New Roman"/>
          <w:sz w:val="24"/>
          <w:szCs w:val="24"/>
        </w:rPr>
        <w:t>)</w:t>
      </w:r>
    </w:p>
    <w:p w14:paraId="39C3F0B4" w14:textId="356B17AC" w:rsidR="002A3F22" w:rsidRPr="00130DEB" w:rsidRDefault="00DF7D72" w:rsidP="00130DEB">
      <w:pPr>
        <w:autoSpaceDE w:val="0"/>
        <w:autoSpaceDN w:val="0"/>
        <w:adjustRightInd w:val="0"/>
        <w:spacing w:after="0" w:line="240" w:lineRule="auto"/>
        <w:jc w:val="both"/>
        <w:rPr>
          <w:rFonts w:ascii="Times New Roman" w:hAnsi="Times New Roman" w:cs="Times New Roman"/>
          <w:sz w:val="24"/>
          <w:szCs w:val="24"/>
        </w:rPr>
      </w:pPr>
      <w:r w:rsidRPr="00C51D94">
        <w:rPr>
          <w:rFonts w:ascii="Times New Roman" w:hAnsi="Times New Roman" w:cs="Times New Roman"/>
          <w:sz w:val="24"/>
          <w:szCs w:val="24"/>
        </w:rPr>
        <w:t>wh</w:t>
      </w:r>
      <w:r w:rsidR="00AB7B70" w:rsidRPr="00C51D94">
        <w:rPr>
          <w:rFonts w:ascii="Times New Roman" w:hAnsi="Times New Roman" w:cs="Times New Roman"/>
          <w:sz w:val="24"/>
          <w:szCs w:val="24"/>
        </w:rPr>
        <w:t>ere</w:t>
      </w:r>
      <w:r w:rsidR="00AB7B70" w:rsidRPr="00C51D94">
        <w:rPr>
          <w:rFonts w:ascii="Times New Roman" w:eastAsiaTheme="minorEastAsia" w:hAnsi="Times New Roman" w:cs="Times New Roman"/>
          <w:sz w:val="24"/>
          <w:szCs w:val="24"/>
        </w:rPr>
        <w:t>,</w:t>
      </w:r>
      <w:r w:rsidRPr="00C51D94">
        <w:rPr>
          <w:rFonts w:ascii="Times New Roman" w:hAnsi="Times New Roman" w:cs="Times New Roman"/>
          <w:sz w:val="24"/>
          <w:szCs w:val="24"/>
        </w:rPr>
        <w:t xml:space="preserve"> the conditional quantile function of environmental performance at </w:t>
      </w:r>
      <w:r w:rsidRPr="00C51D94">
        <w:rPr>
          <w:rFonts w:ascii="Cambria Math" w:hAnsi="Cambria Math" w:cs="Cambria Math"/>
          <w:sz w:val="24"/>
          <w:szCs w:val="24"/>
        </w:rPr>
        <w:t>𝜃</w:t>
      </w:r>
      <w:r w:rsidRPr="00C51D94">
        <w:rPr>
          <w:rFonts w:ascii="Times New Roman" w:hAnsi="Times New Roman" w:cs="Times New Roman"/>
          <w:sz w:val="24"/>
          <w:szCs w:val="24"/>
        </w:rPr>
        <w:t>-</w:t>
      </w:r>
      <w:proofErr w:type="spellStart"/>
      <w:r w:rsidRPr="00C51D94">
        <w:rPr>
          <w:rFonts w:ascii="Times New Roman" w:hAnsi="Times New Roman" w:cs="Times New Roman"/>
          <w:sz w:val="24"/>
          <w:szCs w:val="24"/>
        </w:rPr>
        <w:t>th</w:t>
      </w:r>
      <w:proofErr w:type="spellEnd"/>
      <w:r w:rsidRPr="00C51D94">
        <w:rPr>
          <w:rFonts w:ascii="Times New Roman" w:hAnsi="Times New Roman" w:cs="Times New Roman"/>
          <w:sz w:val="24"/>
          <w:szCs w:val="24"/>
        </w:rPr>
        <w:t xml:space="preserve"> quantile</w:t>
      </w:r>
      <w:r w:rsidRPr="00C51D94">
        <w:rPr>
          <w:rFonts w:ascii="Times New Roman" w:eastAsiaTheme="minorEastAsia" w:hAnsi="Times New Roman" w:cs="Times New Roman"/>
          <w:sz w:val="24"/>
          <w:szCs w:val="24"/>
        </w:rPr>
        <w:t xml:space="preserve"> </w:t>
      </w:r>
      <w:r w:rsidR="002A3F22" w:rsidRPr="00C51D94">
        <w:rPr>
          <w:rFonts w:ascii="Times New Roman" w:eastAsiaTheme="minorEastAsia" w:hAnsi="Times New Roman" w:cs="Times New Roman"/>
          <w:sz w:val="24"/>
          <w:szCs w:val="24"/>
        </w:rPr>
        <w:t>is denoted</w:t>
      </w:r>
      <w:r w:rsidRPr="00C51D94">
        <w:rPr>
          <w:rFonts w:ascii="Times New Roman" w:eastAsiaTheme="minorEastAsia" w:hAnsi="Times New Roman" w:cs="Times New Roman"/>
          <w:sz w:val="24"/>
          <w:szCs w:val="24"/>
        </w:rPr>
        <w:t xml:space="preserve"> by </w:t>
      </w:r>
      <w:r>
        <w:rPr>
          <w:rFonts w:ascii="Times New Roman" w:hAnsi="Times New Roman" w:cs="Times New Roman"/>
          <w:position w:val="-14"/>
          <w:sz w:val="24"/>
          <w:szCs w:val="24"/>
        </w:rPr>
        <w:object w:dxaOrig="1260" w:dyaOrig="405" w14:anchorId="610A9096">
          <v:shape id="_x0000_i1044" type="#_x0000_t75" style="width:63pt;height:20.25pt" o:ole="">
            <v:imagedata r:id="rId47" o:title=""/>
          </v:shape>
          <o:OLEObject Type="Embed" ProgID="Equation.DSMT4" ShapeID="_x0000_i1044" DrawAspect="Content" ObjectID="_1770110305" r:id="rId48"/>
        </w:object>
      </w:r>
      <w:r w:rsidRPr="00C51D94">
        <w:rPr>
          <w:rFonts w:ascii="Times New Roman" w:hAnsi="Times New Roman" w:cs="Times New Roman"/>
          <w:sz w:val="24"/>
          <w:szCs w:val="24"/>
        </w:rPr>
        <w:t xml:space="preserve"> with</w:t>
      </w:r>
      <w:r w:rsidRPr="00C51D94">
        <w:rPr>
          <w:rFonts w:ascii="Times New Roman" w:eastAsiaTheme="minorEastAsia" w:hAnsi="Times New Roman" w:cs="Times New Roman"/>
          <w:sz w:val="24"/>
          <w:szCs w:val="24"/>
        </w:rPr>
        <w:t xml:space="preserve">  </w:t>
      </w:r>
      <w:r w:rsidR="00AB7B70" w:rsidRPr="00C51D9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q</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τ</m:t>
            </m:r>
          </m:e>
        </m:d>
      </m:oMath>
      <w:r w:rsidR="00AB7B70" w:rsidRPr="00C51D94">
        <w:rPr>
          <w:rFonts w:ascii="Times New Roman" w:eastAsiaTheme="minorEastAsia" w:hAnsi="Times New Roman" w:cs="Times New Roman"/>
          <w:sz w:val="24"/>
          <w:szCs w:val="24"/>
        </w:rPr>
        <w:t xml:space="preserve"> =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-1</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τ</m:t>
            </m:r>
          </m:e>
        </m:d>
      </m:oMath>
      <w:r w:rsidR="00AB7B70" w:rsidRPr="00C51D94">
        <w:rPr>
          <w:rFonts w:ascii="Times New Roman" w:eastAsiaTheme="minorEastAsia" w:hAnsi="Times New Roman" w:cs="Times New Roman"/>
          <w:sz w:val="24"/>
          <w:szCs w:val="24"/>
        </w:rPr>
        <w:t xml:space="preserve"> while P(U</w:t>
      </w:r>
      <m:oMath>
        <m:r>
          <w:rPr>
            <w:rFonts w:ascii="Cambria Math" w:eastAsiaTheme="minorEastAsia" w:hAnsi="Cambria Math" w:cs="Times New Roman"/>
            <w:sz w:val="24"/>
            <w:szCs w:val="24"/>
          </w:rPr>
          <m:t xml:space="preserve"> &lt;q</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τ</m:t>
            </m:r>
          </m:e>
        </m:d>
      </m:oMath>
      <w:r w:rsidR="00AB7B70" w:rsidRPr="00C51D94">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τ</m:t>
        </m:r>
      </m:oMath>
      <w:r w:rsidR="00AB7B70" w:rsidRPr="00C51D94">
        <w:rPr>
          <w:rFonts w:ascii="Times New Roman" w:hAnsi="Times New Roman" w:cs="Times New Roman"/>
          <w:sz w:val="24"/>
          <w:szCs w:val="24"/>
        </w:rPr>
        <w:t>.</w:t>
      </w:r>
    </w:p>
    <w:p w14:paraId="02114185" w14:textId="6A0409AE" w:rsidR="00E750C2" w:rsidRDefault="00DF7D72" w:rsidP="002A3F22">
      <w:pPr>
        <w:spacing w:before="240" w:after="0" w:line="240" w:lineRule="auto"/>
        <w:jc w:val="both"/>
        <w:rPr>
          <w:rFonts w:ascii="Times New Roman" w:hAnsi="Times New Roman" w:cs="Times New Roman"/>
          <w:b/>
          <w:sz w:val="28"/>
          <w:szCs w:val="28"/>
        </w:rPr>
      </w:pPr>
      <w:r w:rsidRPr="00677811">
        <w:rPr>
          <w:rFonts w:ascii="Times New Roman" w:hAnsi="Times New Roman" w:cs="Times New Roman"/>
          <w:b/>
          <w:sz w:val="28"/>
          <w:szCs w:val="28"/>
        </w:rPr>
        <w:t xml:space="preserve">4. </w:t>
      </w:r>
      <w:r w:rsidR="00F86BFF">
        <w:rPr>
          <w:rFonts w:ascii="Times New Roman" w:hAnsi="Times New Roman" w:cs="Times New Roman"/>
          <w:b/>
          <w:sz w:val="28"/>
          <w:szCs w:val="28"/>
        </w:rPr>
        <w:t xml:space="preserve">Results and </w:t>
      </w:r>
      <w:r w:rsidR="00130DEB">
        <w:rPr>
          <w:rFonts w:ascii="Times New Roman" w:hAnsi="Times New Roman" w:cs="Times New Roman"/>
          <w:b/>
          <w:sz w:val="28"/>
          <w:szCs w:val="28"/>
        </w:rPr>
        <w:t>d</w:t>
      </w:r>
      <w:r w:rsidRPr="00677811">
        <w:rPr>
          <w:rFonts w:ascii="Times New Roman" w:hAnsi="Times New Roman" w:cs="Times New Roman"/>
          <w:b/>
          <w:sz w:val="28"/>
          <w:szCs w:val="28"/>
        </w:rPr>
        <w:t xml:space="preserve">iscussion </w:t>
      </w:r>
    </w:p>
    <w:p w14:paraId="2BD907E0" w14:textId="0562E674" w:rsidR="00077FAE" w:rsidRDefault="00DF7D72" w:rsidP="00BE06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 Preliminary analysis</w:t>
      </w:r>
    </w:p>
    <w:p w14:paraId="3DB6410D" w14:textId="37F44A41" w:rsidR="00077FAE" w:rsidRPr="00130DEB" w:rsidRDefault="00DF7D72" w:rsidP="00C173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1 displays the summary of descriptive statistics of the variables. As can be seen, the mean and other average measures of the variables are large except that of R&amp;D. This implies that these scores are extremely influenced by outliers.  That standard deviation which measures the volatilities in the variables shows that REN is the most volatile variable and is followed by EP. The rest of the variables are less volatile with GDP having the lowest volatility. The skewness of the variables indicates that apart from R&amp;D and REN which have positive values, the remaining variables have negative </w:t>
      </w:r>
      <w:r w:rsidR="002A3F22" w:rsidRPr="002A3F22">
        <w:rPr>
          <w:rFonts w:ascii="Times New Roman" w:hAnsi="Times New Roman" w:cs="Times New Roman"/>
          <w:color w:val="FF0000"/>
          <w:sz w:val="24"/>
          <w:szCs w:val="24"/>
        </w:rPr>
        <w:t>values,</w:t>
      </w:r>
      <w:r w:rsidRPr="002A3F22">
        <w:rPr>
          <w:rFonts w:ascii="Times New Roman" w:hAnsi="Times New Roman" w:cs="Times New Roman"/>
          <w:color w:val="FF0000"/>
          <w:sz w:val="24"/>
          <w:szCs w:val="24"/>
        </w:rPr>
        <w:t xml:space="preserve"> </w:t>
      </w:r>
      <w:r>
        <w:rPr>
          <w:rFonts w:ascii="Times New Roman" w:hAnsi="Times New Roman" w:cs="Times New Roman"/>
          <w:sz w:val="24"/>
          <w:szCs w:val="24"/>
        </w:rPr>
        <w:t xml:space="preserve">and they are all close to zero. Furthermore, all the variables have a positive kurtosis which by approximation equal to three. However, the Jarque-Bera test results show that the statistics are extremely large and hence the probability values provide that the null hypothesis of normal distribution of variables cannot hold. </w:t>
      </w:r>
    </w:p>
    <w:p w14:paraId="099F1DCF" w14:textId="77777777" w:rsidR="00130DEB" w:rsidRDefault="00DF7D72" w:rsidP="00130DE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Furthermore, from the results of the correlation matrix presented in Table 2</w:t>
      </w:r>
      <w:r w:rsidRPr="002A3F22">
        <w:rPr>
          <w:rFonts w:ascii="Times New Roman" w:hAnsi="Times New Roman" w:cs="Times New Roman"/>
          <w:color w:val="FF0000"/>
          <w:sz w:val="24"/>
          <w:szCs w:val="24"/>
        </w:rPr>
        <w:t xml:space="preserve">, </w:t>
      </w:r>
      <w:r w:rsidR="002A3F22" w:rsidRPr="002A3F22">
        <w:rPr>
          <w:rFonts w:ascii="Times New Roman" w:hAnsi="Times New Roman" w:cs="Times New Roman"/>
          <w:color w:val="FF0000"/>
          <w:sz w:val="24"/>
          <w:szCs w:val="24"/>
        </w:rPr>
        <w:t>the</w:t>
      </w:r>
      <w:r w:rsidRPr="002A3F22">
        <w:rPr>
          <w:rFonts w:ascii="Times New Roman" w:hAnsi="Times New Roman" w:cs="Times New Roman"/>
          <w:color w:val="FF0000"/>
          <w:sz w:val="24"/>
          <w:szCs w:val="24"/>
        </w:rPr>
        <w:t xml:space="preserve"> </w:t>
      </w:r>
      <w:r>
        <w:rPr>
          <w:rFonts w:ascii="Times New Roman" w:hAnsi="Times New Roman" w:cs="Times New Roman"/>
          <w:sz w:val="24"/>
          <w:szCs w:val="24"/>
        </w:rPr>
        <w:t>coefficients of the correlation established suggest no evidence of multicollinearity. Another vital information we derive from the correlation matrix is that with</w:t>
      </w:r>
      <w:r w:rsidR="005357F2">
        <w:rPr>
          <w:rFonts w:ascii="Times New Roman" w:hAnsi="Times New Roman" w:cs="Times New Roman"/>
          <w:sz w:val="24"/>
          <w:szCs w:val="24"/>
        </w:rPr>
        <w:t xml:space="preserve"> exception of a negative correlation between each of the variables we included in the model and</w:t>
      </w:r>
      <w:r>
        <w:rPr>
          <w:rFonts w:ascii="Times New Roman" w:hAnsi="Times New Roman" w:cs="Times New Roman"/>
          <w:sz w:val="24"/>
          <w:szCs w:val="24"/>
        </w:rPr>
        <w:t xml:space="preserve"> REN, all other correlations established are positive and statistically significant. Particularly, the correlation between EP and REN, LNTRM and REN, and LNETAX and REN all reveal a positive and stati</w:t>
      </w:r>
      <w:r w:rsidR="005357F2">
        <w:rPr>
          <w:rFonts w:ascii="Times New Roman" w:hAnsi="Times New Roman" w:cs="Times New Roman"/>
          <w:sz w:val="24"/>
          <w:szCs w:val="24"/>
        </w:rPr>
        <w:t xml:space="preserve">stically significant </w:t>
      </w:r>
      <w:r w:rsidR="005357F2">
        <w:rPr>
          <w:rFonts w:ascii="Times New Roman" w:hAnsi="Times New Roman" w:cs="Times New Roman"/>
          <w:sz w:val="24"/>
          <w:szCs w:val="24"/>
        </w:rPr>
        <w:lastRenderedPageBreak/>
        <w:t xml:space="preserve">except </w:t>
      </w:r>
      <w:r>
        <w:rPr>
          <w:rFonts w:ascii="Times New Roman" w:hAnsi="Times New Roman" w:cs="Times New Roman"/>
          <w:sz w:val="24"/>
          <w:szCs w:val="24"/>
        </w:rPr>
        <w:t>the correlation between LNETAX and REN which is statistically insignificant. Furthermore, there is a positive and significant correlation between R&amp;D and REN.</w:t>
      </w:r>
    </w:p>
    <w:p w14:paraId="5709E004" w14:textId="77777777" w:rsidR="00130DEB" w:rsidRDefault="00DF7D72" w:rsidP="00130DE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Before estimating our model, it is the tradition in time series analysis to check the stationarity properties of the series employed. In doing this, we apply both the standard unit root test and the </w:t>
      </w:r>
      <w:r w:rsidR="002A3F22">
        <w:rPr>
          <w:rFonts w:ascii="Times New Roman" w:hAnsi="Times New Roman" w:cs="Times New Roman"/>
          <w:color w:val="FF0000"/>
          <w:sz w:val="24"/>
          <w:szCs w:val="24"/>
        </w:rPr>
        <w:t>more recent</w:t>
      </w:r>
      <w:r w:rsidRPr="002A3F22">
        <w:rPr>
          <w:rFonts w:ascii="Times New Roman" w:hAnsi="Times New Roman" w:cs="Times New Roman"/>
          <w:color w:val="FF0000"/>
          <w:sz w:val="24"/>
          <w:szCs w:val="24"/>
        </w:rPr>
        <w:t xml:space="preserve"> </w:t>
      </w:r>
      <w:r>
        <w:rPr>
          <w:rFonts w:ascii="Times New Roman" w:hAnsi="Times New Roman" w:cs="Times New Roman"/>
          <w:sz w:val="24"/>
          <w:szCs w:val="24"/>
        </w:rPr>
        <w:t xml:space="preserve">unit root test that controls for cross-sectional dependence. </w:t>
      </w:r>
      <w:r w:rsidR="009E0097">
        <w:rPr>
          <w:rFonts w:ascii="Times New Roman" w:hAnsi="Times New Roman" w:cs="Times New Roman"/>
          <w:sz w:val="24"/>
          <w:szCs w:val="24"/>
        </w:rPr>
        <w:t xml:space="preserve">The results of the Levin et al (2002) panel unit-root test reveal that </w:t>
      </w:r>
      <w:proofErr w:type="spellStart"/>
      <w:r w:rsidR="009E0097">
        <w:rPr>
          <w:rFonts w:ascii="Times New Roman" w:hAnsi="Times New Roman" w:cs="Times New Roman"/>
          <w:sz w:val="24"/>
          <w:szCs w:val="24"/>
        </w:rPr>
        <w:t>lnEP</w:t>
      </w:r>
      <w:proofErr w:type="spellEnd"/>
      <w:r w:rsidR="009E0097">
        <w:rPr>
          <w:rFonts w:ascii="Times New Roman" w:hAnsi="Times New Roman" w:cs="Times New Roman"/>
          <w:sz w:val="24"/>
          <w:szCs w:val="24"/>
        </w:rPr>
        <w:t xml:space="preserve">, </w:t>
      </w:r>
      <w:proofErr w:type="spellStart"/>
      <w:r w:rsidR="009E0097">
        <w:rPr>
          <w:rFonts w:ascii="Times New Roman" w:hAnsi="Times New Roman" w:cs="Times New Roman"/>
          <w:sz w:val="24"/>
          <w:szCs w:val="24"/>
        </w:rPr>
        <w:t>lnTRM</w:t>
      </w:r>
      <w:proofErr w:type="spellEnd"/>
      <w:r w:rsidR="009E0097">
        <w:rPr>
          <w:rFonts w:ascii="Times New Roman" w:hAnsi="Times New Roman" w:cs="Times New Roman"/>
          <w:sz w:val="24"/>
          <w:szCs w:val="24"/>
        </w:rPr>
        <w:t xml:space="preserve">, and </w:t>
      </w:r>
      <w:proofErr w:type="spellStart"/>
      <w:r w:rsidR="009E0097">
        <w:rPr>
          <w:rFonts w:ascii="Times New Roman" w:hAnsi="Times New Roman" w:cs="Times New Roman"/>
          <w:sz w:val="24"/>
          <w:szCs w:val="24"/>
        </w:rPr>
        <w:t>lnGDP</w:t>
      </w:r>
      <w:proofErr w:type="spellEnd"/>
      <w:r w:rsidR="009E0097">
        <w:rPr>
          <w:rFonts w:ascii="Times New Roman" w:hAnsi="Times New Roman" w:cs="Times New Roman"/>
          <w:sz w:val="24"/>
          <w:szCs w:val="24"/>
        </w:rPr>
        <w:t xml:space="preserve"> exhibit </w:t>
      </w:r>
      <w:proofErr w:type="gramStart"/>
      <w:r w:rsidR="009E0097">
        <w:rPr>
          <w:rFonts w:ascii="Times New Roman" w:hAnsi="Times New Roman" w:cs="Times New Roman"/>
          <w:sz w:val="24"/>
          <w:szCs w:val="24"/>
        </w:rPr>
        <w:t>I(</w:t>
      </w:r>
      <w:proofErr w:type="gramEnd"/>
      <w:r w:rsidR="009E0097">
        <w:rPr>
          <w:rFonts w:ascii="Times New Roman" w:hAnsi="Times New Roman" w:cs="Times New Roman"/>
          <w:sz w:val="24"/>
          <w:szCs w:val="24"/>
        </w:rPr>
        <w:t xml:space="preserve">0) stationarity properties while the rest of the variables are I(1) process. However, by controlling for cross-sectional dependence in the panel, the results of Pesaran (2007) divulge that all the variables are only stationary after taking their first differences. To this extent, we further conduct a cointegration test to check whether they have a long-run relationship. By doing this, we apply a cointegration </w:t>
      </w:r>
      <w:r w:rsidR="00F0503A">
        <w:rPr>
          <w:rFonts w:ascii="Times New Roman" w:hAnsi="Times New Roman" w:cs="Times New Roman"/>
          <w:sz w:val="24"/>
          <w:szCs w:val="24"/>
        </w:rPr>
        <w:t xml:space="preserve">test by </w:t>
      </w:r>
      <w:r w:rsidR="00F0503A" w:rsidRPr="008967DD">
        <w:rPr>
          <w:rFonts w:ascii="Times New Roman" w:hAnsi="Times New Roman" w:cs="Times New Roman"/>
          <w:sz w:val="24"/>
          <w:szCs w:val="24"/>
        </w:rPr>
        <w:t xml:space="preserve">Westerlund </w:t>
      </w:r>
      <w:r w:rsidR="00F0503A">
        <w:rPr>
          <w:rFonts w:ascii="Times New Roman" w:hAnsi="Times New Roman" w:cs="Times New Roman"/>
          <w:color w:val="222222"/>
          <w:sz w:val="24"/>
          <w:szCs w:val="24"/>
          <w:shd w:val="clear" w:color="auto" w:fill="FFFFFF"/>
        </w:rPr>
        <w:t>and</w:t>
      </w:r>
      <w:r w:rsidR="00F0503A" w:rsidRPr="00C035C1">
        <w:rPr>
          <w:rFonts w:ascii="Times New Roman" w:hAnsi="Times New Roman" w:cs="Times New Roman"/>
          <w:color w:val="222222"/>
          <w:sz w:val="24"/>
          <w:szCs w:val="24"/>
          <w:shd w:val="clear" w:color="auto" w:fill="FFFFFF"/>
        </w:rPr>
        <w:t xml:space="preserve"> Edgerton</w:t>
      </w:r>
      <w:r w:rsidR="00F0503A" w:rsidRPr="008967DD">
        <w:rPr>
          <w:rFonts w:ascii="Times New Roman" w:hAnsi="Times New Roman" w:cs="Times New Roman"/>
          <w:sz w:val="24"/>
          <w:szCs w:val="24"/>
        </w:rPr>
        <w:t xml:space="preserve"> (2007)</w:t>
      </w:r>
      <w:r w:rsidR="00F0503A">
        <w:rPr>
          <w:rFonts w:ascii="Times New Roman" w:hAnsi="Times New Roman" w:cs="Times New Roman"/>
          <w:sz w:val="24"/>
          <w:szCs w:val="24"/>
        </w:rPr>
        <w:t>. The results indicate the presence of cointegration among the variables employed.</w:t>
      </w:r>
    </w:p>
    <w:p w14:paraId="7759AB49" w14:textId="77777777" w:rsidR="00130DEB" w:rsidRDefault="00DF7D72" w:rsidP="00130DEB">
      <w:pPr>
        <w:spacing w:before="240"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One of the requirement</w:t>
      </w:r>
      <w:r w:rsidR="00F86BFF">
        <w:rPr>
          <w:rFonts w:ascii="Times New Roman" w:hAnsi="Times New Roman" w:cs="Times New Roman"/>
          <w:sz w:val="24"/>
          <w:szCs w:val="24"/>
        </w:rPr>
        <w:t>s</w:t>
      </w:r>
      <w:r>
        <w:rPr>
          <w:rFonts w:ascii="Times New Roman" w:hAnsi="Times New Roman" w:cs="Times New Roman"/>
          <w:sz w:val="24"/>
          <w:szCs w:val="24"/>
        </w:rPr>
        <w:t xml:space="preserve"> for applying a threshold model is to test</w:t>
      </w:r>
      <w:r w:rsidR="00F86BFF">
        <w:rPr>
          <w:rFonts w:ascii="Times New Roman" w:hAnsi="Times New Roman" w:cs="Times New Roman"/>
          <w:sz w:val="24"/>
          <w:szCs w:val="24"/>
        </w:rPr>
        <w:t xml:space="preserve"> for a threshold effect in the relationship. To do this,</w:t>
      </w:r>
      <w:r>
        <w:rPr>
          <w:rFonts w:ascii="Times New Roman" w:hAnsi="Times New Roman" w:cs="Times New Roman"/>
          <w:sz w:val="24"/>
          <w:szCs w:val="24"/>
        </w:rPr>
        <w:t xml:space="preserve"> the </w:t>
      </w:r>
      <w:r w:rsidR="00443947">
        <w:rPr>
          <w:rFonts w:asciiTheme="majorBidi" w:hAnsiTheme="majorBidi" w:cstheme="majorBidi"/>
          <w:sz w:val="24"/>
          <w:szCs w:val="24"/>
          <w:lang w:val="en-US"/>
        </w:rPr>
        <w:t>Likelihood Ratio (LR) statistic</w:t>
      </w:r>
      <w:r>
        <w:rPr>
          <w:rFonts w:asciiTheme="majorBidi" w:hAnsiTheme="majorBidi" w:cstheme="majorBidi"/>
          <w:sz w:val="24"/>
          <w:szCs w:val="24"/>
          <w:lang w:val="en-US"/>
        </w:rPr>
        <w:t xml:space="preserve"> test</w:t>
      </w:r>
      <w:r w:rsidRPr="00B25C0D">
        <w:rPr>
          <w:rFonts w:asciiTheme="majorBidi" w:hAnsiTheme="majorBidi" w:cstheme="majorBidi"/>
          <w:sz w:val="24"/>
          <w:szCs w:val="24"/>
          <w:lang w:val="en-US"/>
        </w:rPr>
        <w:t xml:space="preserve"> </w:t>
      </w:r>
      <w:r w:rsidR="00F86BFF">
        <w:rPr>
          <w:rFonts w:asciiTheme="majorBidi" w:hAnsiTheme="majorBidi" w:cstheme="majorBidi"/>
          <w:sz w:val="24"/>
          <w:szCs w:val="24"/>
          <w:lang w:val="en-US"/>
        </w:rPr>
        <w:t>is applied. As suggested by Hansen (1999),</w:t>
      </w:r>
      <w:r>
        <w:rPr>
          <w:rFonts w:asciiTheme="majorBidi" w:hAnsiTheme="majorBidi" w:cstheme="majorBidi"/>
          <w:sz w:val="24"/>
          <w:szCs w:val="24"/>
          <w:lang w:val="en-US"/>
        </w:rPr>
        <w:t xml:space="preserve"> since the asymptotic distribution of </w:t>
      </w:r>
      <w:r w:rsidRPr="00F86BFF">
        <w:rPr>
          <w:rFonts w:asciiTheme="majorBidi" w:hAnsiTheme="majorBidi" w:cstheme="majorBidi"/>
          <w:i/>
          <w:sz w:val="24"/>
          <w:szCs w:val="24"/>
          <w:lang w:val="en-US"/>
        </w:rPr>
        <w:t>F</w:t>
      </w:r>
      <w:r w:rsidR="00F86BFF">
        <w:rPr>
          <w:rFonts w:asciiTheme="majorBidi" w:hAnsiTheme="majorBidi" w:cstheme="majorBidi"/>
          <w:sz w:val="24"/>
          <w:szCs w:val="24"/>
          <w:lang w:val="en-US"/>
        </w:rPr>
        <w:t xml:space="preserve">-statistic is nonstandard, </w:t>
      </w:r>
      <w:proofErr w:type="gramStart"/>
      <w:r>
        <w:rPr>
          <w:rFonts w:asciiTheme="majorBidi" w:hAnsiTheme="majorBidi" w:cstheme="majorBidi"/>
          <w:sz w:val="24"/>
          <w:szCs w:val="24"/>
          <w:lang w:val="en-US"/>
        </w:rPr>
        <w:t>reliable</w:t>
      </w:r>
      <w:proofErr w:type="gramEnd"/>
      <w:r>
        <w:rPr>
          <w:rFonts w:asciiTheme="majorBidi" w:hAnsiTheme="majorBidi" w:cstheme="majorBidi"/>
          <w:sz w:val="24"/>
          <w:szCs w:val="24"/>
          <w:lang w:val="en-US"/>
        </w:rPr>
        <w:t xml:space="preserve"> and robust </w:t>
      </w:r>
      <w:r w:rsidRPr="00F86BFF">
        <w:rPr>
          <w:rFonts w:asciiTheme="majorBidi" w:hAnsiTheme="majorBidi" w:cstheme="majorBidi"/>
          <w:i/>
          <w:sz w:val="24"/>
          <w:szCs w:val="24"/>
          <w:lang w:val="en-US"/>
        </w:rPr>
        <w:t>F</w:t>
      </w:r>
      <w:r>
        <w:rPr>
          <w:rFonts w:asciiTheme="majorBidi" w:hAnsiTheme="majorBidi" w:cstheme="majorBidi"/>
          <w:sz w:val="24"/>
          <w:szCs w:val="24"/>
          <w:lang w:val="en-US"/>
        </w:rPr>
        <w:t xml:space="preserve">-statistic and </w:t>
      </w:r>
      <w:r w:rsidRPr="00F86BFF">
        <w:rPr>
          <w:rFonts w:asciiTheme="majorBidi" w:hAnsiTheme="majorBidi" w:cstheme="majorBidi"/>
          <w:i/>
          <w:sz w:val="24"/>
          <w:szCs w:val="24"/>
          <w:lang w:val="en-US"/>
        </w:rPr>
        <w:t>p</w:t>
      </w:r>
      <w:r w:rsidR="00F86BFF">
        <w:rPr>
          <w:rFonts w:asciiTheme="majorBidi" w:hAnsiTheme="majorBidi" w:cstheme="majorBidi"/>
          <w:sz w:val="24"/>
          <w:szCs w:val="24"/>
          <w:lang w:val="en-US"/>
        </w:rPr>
        <w:t>-value are</w:t>
      </w:r>
      <w:r>
        <w:rPr>
          <w:rFonts w:asciiTheme="majorBidi" w:hAnsiTheme="majorBidi" w:cstheme="majorBidi"/>
          <w:sz w:val="24"/>
          <w:szCs w:val="24"/>
          <w:lang w:val="en-US"/>
        </w:rPr>
        <w:t xml:space="preserve"> computed using a bootstrap approach under </w:t>
      </w:r>
      <w:r w:rsidR="00F86BFF">
        <w:rPr>
          <w:rFonts w:asciiTheme="majorBidi" w:hAnsiTheme="majorBidi" w:cstheme="majorBidi"/>
          <w:sz w:val="24"/>
          <w:szCs w:val="24"/>
          <w:lang w:val="en-US"/>
        </w:rPr>
        <w:t xml:space="preserve">the null hypothesis. </w:t>
      </w:r>
      <w:r w:rsidR="00B87488">
        <w:rPr>
          <w:rFonts w:asciiTheme="majorBidi" w:hAnsiTheme="majorBidi" w:cstheme="majorBidi"/>
          <w:sz w:val="24"/>
          <w:szCs w:val="24"/>
          <w:lang w:val="en-US"/>
        </w:rPr>
        <w:t xml:space="preserve">Therefore, </w:t>
      </w:r>
      <w:r>
        <w:rPr>
          <w:rFonts w:asciiTheme="majorBidi" w:hAnsiTheme="majorBidi" w:cstheme="majorBidi"/>
          <w:sz w:val="24"/>
          <w:szCs w:val="24"/>
          <w:lang w:val="en-US"/>
        </w:rPr>
        <w:t>to determine whether the threshold is</w:t>
      </w:r>
      <w:r w:rsidR="00443CDE">
        <w:rPr>
          <w:rFonts w:asciiTheme="majorBidi" w:hAnsiTheme="majorBidi" w:cstheme="majorBidi"/>
          <w:sz w:val="24"/>
          <w:szCs w:val="24"/>
          <w:lang w:val="en-US"/>
        </w:rPr>
        <w:t xml:space="preserve"> not evident in the relationship</w:t>
      </w:r>
      <w:r w:rsidR="00B87488">
        <w:rPr>
          <w:rFonts w:asciiTheme="majorBidi" w:hAnsiTheme="majorBidi" w:cstheme="majorBidi"/>
          <w:sz w:val="24"/>
          <w:szCs w:val="24"/>
          <w:lang w:val="en-US"/>
        </w:rPr>
        <w:t>, we test the null</w:t>
      </w:r>
      <w:r w:rsidR="00B71D28">
        <w:rPr>
          <w:rFonts w:asciiTheme="majorBidi" w:hAnsiTheme="majorBidi" w:cstheme="majorBidi"/>
          <w:sz w:val="24"/>
          <w:szCs w:val="24"/>
          <w:lang w:val="en-US"/>
        </w:rPr>
        <w:t xml:space="preserve"> hypothesis of no threshold</w:t>
      </w:r>
      <w:r w:rsidR="00B87488">
        <w:rPr>
          <w:rFonts w:asciiTheme="majorBidi" w:hAnsiTheme="majorBidi" w:cstheme="majorBidi"/>
          <w:sz w:val="24"/>
          <w:szCs w:val="24"/>
          <w:lang w:val="en-US"/>
        </w:rPr>
        <w:t>, i.e.</w:t>
      </w:r>
      <w:r w:rsidR="00B71D28" w:rsidRPr="00B71D28">
        <w:t xml:space="preserve"> </w:t>
      </w:r>
      <w:r w:rsidR="00B71D28" w:rsidRPr="00A61742">
        <w:rPr>
          <w:position w:val="-10"/>
        </w:rPr>
        <w:object w:dxaOrig="760" w:dyaOrig="320" w14:anchorId="6D59C3CC">
          <v:shape id="_x0000_i1045" type="#_x0000_t75" style="width:38.25pt;height:15pt" o:ole="">
            <v:imagedata r:id="rId49" o:title=""/>
          </v:shape>
          <o:OLEObject Type="Embed" ProgID="Equation.DSMT4" ShapeID="_x0000_i1045" DrawAspect="Content" ObjectID="_1770110306" r:id="rId50"/>
        </w:object>
      </w:r>
      <w:r w:rsidR="00B71D28">
        <w:rPr>
          <w:rFonts w:asciiTheme="majorBidi" w:hAnsiTheme="majorBidi" w:cstheme="majorBidi"/>
          <w:sz w:val="24"/>
          <w:szCs w:val="24"/>
          <w:lang w:val="en-US"/>
        </w:rPr>
        <w:t>. We also test the null hypothesis</w:t>
      </w:r>
      <w:r>
        <w:rPr>
          <w:rFonts w:asciiTheme="majorBidi" w:hAnsiTheme="majorBidi" w:cstheme="majorBidi"/>
          <w:sz w:val="24"/>
          <w:szCs w:val="24"/>
          <w:lang w:val="en-US"/>
        </w:rPr>
        <w:t xml:space="preserve"> at most </w:t>
      </w:r>
      <w:r w:rsidR="00B71D28">
        <w:rPr>
          <w:rFonts w:asciiTheme="majorBidi" w:hAnsiTheme="majorBidi" w:cstheme="majorBidi"/>
          <w:sz w:val="24"/>
          <w:szCs w:val="24"/>
          <w:lang w:val="en-US"/>
        </w:rPr>
        <w:t>one-time threshold</w:t>
      </w:r>
      <w:r>
        <w:rPr>
          <w:position w:val="-10"/>
        </w:rPr>
        <w:object w:dxaOrig="720" w:dyaOrig="315" w14:anchorId="27B96C3C">
          <v:shape id="_x0000_i1046" type="#_x0000_t75" style="width:36pt;height:15pt" o:ole="">
            <v:imagedata r:id="rId51" o:title=""/>
          </v:shape>
          <o:OLEObject Type="Embed" ProgID="Equation.DSMT4" ShapeID="_x0000_i1046" DrawAspect="Content" ObjectID="_1770110307" r:id="rId52"/>
        </w:object>
      </w:r>
      <w:r w:rsidR="00B71D28">
        <w:rPr>
          <w:rFonts w:asciiTheme="majorBidi" w:hAnsiTheme="majorBidi" w:cstheme="majorBidi"/>
          <w:sz w:val="24"/>
          <w:szCs w:val="24"/>
          <w:lang w:val="en-US"/>
        </w:rPr>
        <w:t xml:space="preserve">. </w:t>
      </w:r>
      <w:r>
        <w:rPr>
          <w:rFonts w:asciiTheme="majorBidi" w:hAnsiTheme="majorBidi" w:cstheme="majorBidi"/>
          <w:sz w:val="24"/>
          <w:szCs w:val="24"/>
          <w:lang w:val="en-US"/>
        </w:rPr>
        <w:t>The results based on 1</w:t>
      </w:r>
      <w:r w:rsidR="00443CDE">
        <w:rPr>
          <w:rFonts w:asciiTheme="majorBidi" w:hAnsiTheme="majorBidi" w:cstheme="majorBidi"/>
          <w:sz w:val="24"/>
          <w:szCs w:val="24"/>
          <w:lang w:val="en-US"/>
        </w:rPr>
        <w:t>0</w:t>
      </w:r>
      <w:r>
        <w:rPr>
          <w:rFonts w:asciiTheme="majorBidi" w:hAnsiTheme="majorBidi" w:cstheme="majorBidi"/>
          <w:sz w:val="24"/>
          <w:szCs w:val="24"/>
          <w:lang w:val="en-US"/>
        </w:rPr>
        <w:t>00 bootst</w:t>
      </w:r>
      <w:r w:rsidR="00443CDE">
        <w:rPr>
          <w:rFonts w:asciiTheme="majorBidi" w:hAnsiTheme="majorBidi" w:cstheme="majorBidi"/>
          <w:sz w:val="24"/>
          <w:szCs w:val="24"/>
          <w:lang w:val="en-US"/>
        </w:rPr>
        <w:t>rap repetitions (see Table 1)</w:t>
      </w:r>
      <w:r>
        <w:rPr>
          <w:rFonts w:asciiTheme="majorBidi" w:hAnsiTheme="majorBidi" w:cstheme="majorBidi"/>
          <w:sz w:val="24"/>
          <w:szCs w:val="24"/>
          <w:lang w:val="en-US"/>
        </w:rPr>
        <w:t xml:space="preserve"> provide </w:t>
      </w:r>
      <w:r w:rsidR="00443CDE">
        <w:rPr>
          <w:rFonts w:asciiTheme="majorBidi" w:hAnsiTheme="majorBidi" w:cstheme="majorBidi"/>
          <w:sz w:val="24"/>
          <w:szCs w:val="24"/>
          <w:lang w:val="en-US"/>
        </w:rPr>
        <w:t xml:space="preserve">strong </w:t>
      </w:r>
      <w:r>
        <w:rPr>
          <w:rFonts w:asciiTheme="majorBidi" w:hAnsiTheme="majorBidi" w:cstheme="majorBidi"/>
          <w:sz w:val="24"/>
          <w:szCs w:val="24"/>
          <w:lang w:val="en-US"/>
        </w:rPr>
        <w:t xml:space="preserve">evidence that the null hypothesis of no threshold is obviously rejected, suggesting </w:t>
      </w:r>
      <w:r w:rsidR="00443CDE">
        <w:rPr>
          <w:rFonts w:asciiTheme="majorBidi" w:hAnsiTheme="majorBidi" w:cstheme="majorBidi"/>
          <w:sz w:val="24"/>
          <w:szCs w:val="24"/>
          <w:lang w:val="en-US"/>
        </w:rPr>
        <w:t xml:space="preserve">that </w:t>
      </w:r>
      <w:r>
        <w:rPr>
          <w:rFonts w:asciiTheme="majorBidi" w:hAnsiTheme="majorBidi" w:cstheme="majorBidi"/>
          <w:sz w:val="24"/>
          <w:szCs w:val="24"/>
          <w:lang w:val="en-US"/>
        </w:rPr>
        <w:t xml:space="preserve">a single threshold is </w:t>
      </w:r>
      <w:r w:rsidR="00443CDE">
        <w:rPr>
          <w:rFonts w:asciiTheme="majorBidi" w:hAnsiTheme="majorBidi" w:cstheme="majorBidi"/>
          <w:sz w:val="24"/>
          <w:szCs w:val="24"/>
          <w:lang w:val="en-US"/>
        </w:rPr>
        <w:t xml:space="preserve">evident </w:t>
      </w:r>
      <w:r>
        <w:rPr>
          <w:rFonts w:asciiTheme="majorBidi" w:hAnsiTheme="majorBidi" w:cstheme="majorBidi"/>
          <w:sz w:val="24"/>
          <w:szCs w:val="24"/>
          <w:lang w:val="en-US"/>
        </w:rPr>
        <w:t>in the relationship. The result</w:t>
      </w:r>
      <w:r w:rsidR="00443CDE">
        <w:rPr>
          <w:rFonts w:asciiTheme="majorBidi" w:hAnsiTheme="majorBidi" w:cstheme="majorBidi"/>
          <w:sz w:val="24"/>
          <w:szCs w:val="24"/>
          <w:lang w:val="en-US"/>
        </w:rPr>
        <w:t>s further provide no statistic</w:t>
      </w:r>
      <w:r>
        <w:rPr>
          <w:rFonts w:asciiTheme="majorBidi" w:hAnsiTheme="majorBidi" w:cstheme="majorBidi"/>
          <w:sz w:val="24"/>
          <w:szCs w:val="24"/>
          <w:lang w:val="en-US"/>
        </w:rPr>
        <w:t>s to support that the threshold in the relationship is more than one or two.</w:t>
      </w:r>
    </w:p>
    <w:p w14:paraId="16122486" w14:textId="77777777" w:rsidR="00130DEB" w:rsidRDefault="00DF7D72" w:rsidP="00130DE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Table 2 divulges the results of the Hansen (2000</w:t>
      </w:r>
      <w:r w:rsidRPr="00FF1C41">
        <w:rPr>
          <w:rFonts w:ascii="Times New Roman" w:hAnsi="Times New Roman" w:cs="Times New Roman"/>
          <w:sz w:val="24"/>
          <w:szCs w:val="24"/>
        </w:rPr>
        <w:t>)</w:t>
      </w:r>
      <w:r>
        <w:rPr>
          <w:rFonts w:ascii="Times New Roman" w:hAnsi="Times New Roman" w:cs="Times New Roman"/>
          <w:sz w:val="24"/>
          <w:szCs w:val="24"/>
        </w:rPr>
        <w:t xml:space="preserve"> panel threshold method. As demonstrated by Hansen (1999), each of the two regimes, at least, contains 5 percent of total observations in the estimations. As can be seen thereof, the estimated threshold level is 5.48 which is statistically significant, easily passing a significant test of 5% level. </w:t>
      </w:r>
      <w:r w:rsidR="00CC673E">
        <w:rPr>
          <w:rFonts w:ascii="Times New Roman" w:hAnsi="Times New Roman" w:cs="Times New Roman"/>
          <w:sz w:val="24"/>
          <w:szCs w:val="24"/>
        </w:rPr>
        <w:t>This means that in periods when</w:t>
      </w:r>
      <w:r>
        <w:rPr>
          <w:rFonts w:ascii="Times New Roman" w:hAnsi="Times New Roman" w:cs="Times New Roman"/>
          <w:sz w:val="24"/>
          <w:szCs w:val="24"/>
        </w:rPr>
        <w:t xml:space="preserve"> total environmental taxes are lower than 5.48, the effect of</w:t>
      </w:r>
      <w:r w:rsidR="00C2211D">
        <w:rPr>
          <w:rFonts w:ascii="Times New Roman" w:hAnsi="Times New Roman" w:cs="Times New Roman"/>
          <w:sz w:val="24"/>
          <w:szCs w:val="24"/>
        </w:rPr>
        <w:t xml:space="preserve"> international</w:t>
      </w:r>
      <w:r>
        <w:rPr>
          <w:rFonts w:ascii="Times New Roman" w:hAnsi="Times New Roman" w:cs="Times New Roman"/>
          <w:sz w:val="24"/>
          <w:szCs w:val="24"/>
        </w:rPr>
        <w:t xml:space="preserve"> tourism receipt on </w:t>
      </w:r>
      <w:r w:rsidR="007D789D">
        <w:rPr>
          <w:rFonts w:ascii="Times New Roman" w:hAnsi="Times New Roman" w:cs="Times New Roman"/>
          <w:sz w:val="24"/>
          <w:szCs w:val="24"/>
        </w:rPr>
        <w:t>environmental performance</w:t>
      </w:r>
      <w:r w:rsidR="00CC673E">
        <w:rPr>
          <w:rFonts w:ascii="Times New Roman" w:hAnsi="Times New Roman" w:cs="Times New Roman"/>
          <w:sz w:val="24"/>
          <w:szCs w:val="24"/>
        </w:rPr>
        <w:t xml:space="preserve"> is</w:t>
      </w:r>
      <w:r w:rsidR="00C2211D">
        <w:rPr>
          <w:rFonts w:ascii="Times New Roman" w:hAnsi="Times New Roman" w:cs="Times New Roman"/>
          <w:sz w:val="24"/>
          <w:szCs w:val="24"/>
        </w:rPr>
        <w:t xml:space="preserve"> </w:t>
      </w:r>
      <w:r w:rsidR="007D789D">
        <w:rPr>
          <w:rFonts w:ascii="Times New Roman" w:hAnsi="Times New Roman" w:cs="Times New Roman"/>
          <w:sz w:val="24"/>
          <w:szCs w:val="24"/>
        </w:rPr>
        <w:t>negative, i.e. -</w:t>
      </w:r>
      <w:r w:rsidR="00C2211D">
        <w:rPr>
          <w:rFonts w:ascii="Times New Roman" w:hAnsi="Times New Roman" w:cs="Times New Roman"/>
          <w:sz w:val="24"/>
          <w:szCs w:val="24"/>
        </w:rPr>
        <w:t>0.0812, which is statistically significant</w:t>
      </w:r>
      <w:r>
        <w:rPr>
          <w:rFonts w:ascii="Times New Roman" w:hAnsi="Times New Roman" w:cs="Times New Roman"/>
          <w:sz w:val="24"/>
          <w:szCs w:val="24"/>
        </w:rPr>
        <w:t>. This result implies that, if other factors remain constant, a</w:t>
      </w:r>
      <w:r w:rsidR="00C2211D">
        <w:rPr>
          <w:rFonts w:ascii="Times New Roman" w:hAnsi="Times New Roman" w:cs="Times New Roman"/>
          <w:sz w:val="24"/>
          <w:szCs w:val="24"/>
        </w:rPr>
        <w:t xml:space="preserve"> 1% increase in international tourism receipt</w:t>
      </w:r>
      <w:r w:rsidR="007D789D">
        <w:rPr>
          <w:rFonts w:ascii="Times New Roman" w:hAnsi="Times New Roman" w:cs="Times New Roman"/>
          <w:sz w:val="24"/>
          <w:szCs w:val="24"/>
        </w:rPr>
        <w:t xml:space="preserve"> would reduce environmental performance</w:t>
      </w:r>
      <w:r w:rsidR="00AA79FD">
        <w:rPr>
          <w:rFonts w:ascii="Times New Roman" w:hAnsi="Times New Roman" w:cs="Times New Roman"/>
          <w:sz w:val="24"/>
          <w:szCs w:val="24"/>
        </w:rPr>
        <w:t xml:space="preserve"> by 0.0812</w:t>
      </w:r>
      <w:r w:rsidR="00C2211D">
        <w:rPr>
          <w:rFonts w:ascii="Times New Roman" w:hAnsi="Times New Roman" w:cs="Times New Roman"/>
          <w:sz w:val="24"/>
          <w:szCs w:val="24"/>
        </w:rPr>
        <w:t>%</w:t>
      </w:r>
      <w:r w:rsidR="00CC673E">
        <w:rPr>
          <w:rFonts w:ascii="Times New Roman" w:hAnsi="Times New Roman" w:cs="Times New Roman"/>
          <w:sz w:val="24"/>
          <w:szCs w:val="24"/>
        </w:rPr>
        <w:t>. However, in periods when</w:t>
      </w:r>
      <w:r w:rsidR="00C2211D">
        <w:rPr>
          <w:rFonts w:ascii="Times New Roman" w:hAnsi="Times New Roman" w:cs="Times New Roman"/>
          <w:sz w:val="24"/>
          <w:szCs w:val="24"/>
        </w:rPr>
        <w:t xml:space="preserve"> total environmental taxes cross the threshold value of 5.48</w:t>
      </w:r>
      <w:r w:rsidR="00CC673E">
        <w:rPr>
          <w:rFonts w:ascii="Times New Roman" w:hAnsi="Times New Roman" w:cs="Times New Roman"/>
          <w:sz w:val="24"/>
          <w:szCs w:val="24"/>
        </w:rPr>
        <w:t xml:space="preserve">, a </w:t>
      </w:r>
      <w:r>
        <w:rPr>
          <w:rFonts w:ascii="Times New Roman" w:hAnsi="Times New Roman" w:cs="Times New Roman"/>
          <w:sz w:val="24"/>
          <w:szCs w:val="24"/>
        </w:rPr>
        <w:t xml:space="preserve">1% increase in </w:t>
      </w:r>
      <w:r w:rsidR="00C2211D">
        <w:rPr>
          <w:rFonts w:ascii="Times New Roman" w:hAnsi="Times New Roman" w:cs="Times New Roman"/>
          <w:sz w:val="24"/>
          <w:szCs w:val="24"/>
        </w:rPr>
        <w:t xml:space="preserve">international tourism receipt </w:t>
      </w:r>
      <w:r w:rsidR="00CC673E">
        <w:rPr>
          <w:rFonts w:ascii="Times New Roman" w:hAnsi="Times New Roman" w:cs="Times New Roman"/>
          <w:sz w:val="24"/>
          <w:szCs w:val="24"/>
        </w:rPr>
        <w:t>would stimulate environmental performance</w:t>
      </w:r>
      <w:r w:rsidR="00AA79FD">
        <w:rPr>
          <w:rFonts w:ascii="Times New Roman" w:hAnsi="Times New Roman" w:cs="Times New Roman"/>
          <w:sz w:val="24"/>
          <w:szCs w:val="24"/>
        </w:rPr>
        <w:t xml:space="preserve"> by 0.0495</w:t>
      </w:r>
      <w:r w:rsidR="00CC673E">
        <w:rPr>
          <w:rFonts w:ascii="Times New Roman" w:hAnsi="Times New Roman" w:cs="Times New Roman"/>
          <w:sz w:val="24"/>
          <w:szCs w:val="24"/>
        </w:rPr>
        <w:t xml:space="preserve">%, holding other factors remain constant. </w:t>
      </w:r>
      <w:r w:rsidR="00575328">
        <w:rPr>
          <w:rFonts w:ascii="Times New Roman" w:hAnsi="Times New Roman" w:cs="Times New Roman"/>
          <w:sz w:val="24"/>
          <w:szCs w:val="24"/>
        </w:rPr>
        <w:t>Furthermore, the effects of regime-independent regressors divulge that while international tourism receipt and economic activities have a negative and significant influence</w:t>
      </w:r>
      <w:r w:rsidR="00D86592">
        <w:rPr>
          <w:rFonts w:ascii="Times New Roman" w:hAnsi="Times New Roman" w:cs="Times New Roman"/>
          <w:sz w:val="24"/>
          <w:szCs w:val="24"/>
        </w:rPr>
        <w:t xml:space="preserve"> on</w:t>
      </w:r>
      <w:r w:rsidR="00575328">
        <w:rPr>
          <w:rFonts w:ascii="Times New Roman" w:hAnsi="Times New Roman" w:cs="Times New Roman"/>
          <w:sz w:val="24"/>
          <w:szCs w:val="24"/>
        </w:rPr>
        <w:t xml:space="preserve"> environmental performance, the effects of renewable energy and </w:t>
      </w:r>
      <w:r w:rsidR="00D86592">
        <w:rPr>
          <w:rFonts w:ascii="Times New Roman" w:hAnsi="Times New Roman" w:cs="Times New Roman"/>
          <w:sz w:val="24"/>
          <w:szCs w:val="24"/>
        </w:rPr>
        <w:t>R&amp;D are positive and</w:t>
      </w:r>
      <w:r w:rsidR="00575328">
        <w:rPr>
          <w:rFonts w:ascii="Times New Roman" w:hAnsi="Times New Roman" w:cs="Times New Roman"/>
          <w:sz w:val="24"/>
          <w:szCs w:val="24"/>
        </w:rPr>
        <w:t xml:space="preserve"> significant </w:t>
      </w:r>
      <w:r w:rsidR="00D86592">
        <w:rPr>
          <w:rFonts w:ascii="Times New Roman" w:hAnsi="Times New Roman" w:cs="Times New Roman"/>
          <w:sz w:val="24"/>
          <w:szCs w:val="24"/>
        </w:rPr>
        <w:t>on environmental performance.</w:t>
      </w:r>
    </w:p>
    <w:p w14:paraId="76C473F2" w14:textId="7BD0D897" w:rsidR="00F0503A" w:rsidRPr="00F0503A" w:rsidRDefault="00DF7D72" w:rsidP="00130DEB">
      <w:pPr>
        <w:spacing w:before="240" w:after="0" w:line="240" w:lineRule="auto"/>
        <w:jc w:val="both"/>
        <w:rPr>
          <w:rFonts w:ascii="Times New Roman" w:hAnsi="Times New Roman" w:cs="Times New Roman"/>
          <w:sz w:val="24"/>
          <w:szCs w:val="24"/>
        </w:rPr>
      </w:pPr>
      <w:r w:rsidRPr="00CC673E">
        <w:rPr>
          <w:rFonts w:ascii="Times New Roman" w:hAnsi="Times New Roman" w:cs="Times New Roman"/>
          <w:sz w:val="24"/>
          <w:szCs w:val="24"/>
        </w:rPr>
        <w:t xml:space="preserve">To check the robustness of these findings, </w:t>
      </w:r>
      <w:r>
        <w:rPr>
          <w:rFonts w:ascii="Times New Roman" w:hAnsi="Times New Roman" w:cs="Times New Roman"/>
          <w:sz w:val="24"/>
          <w:szCs w:val="24"/>
        </w:rPr>
        <w:t xml:space="preserve">the panel quantile estimation via the Method of Moments-Quantiles Regression (MMQR) </w:t>
      </w:r>
      <w:r w:rsidR="00896486">
        <w:rPr>
          <w:rFonts w:ascii="Times New Roman" w:hAnsi="Times New Roman" w:cs="Times New Roman"/>
          <w:sz w:val="24"/>
          <w:szCs w:val="24"/>
        </w:rPr>
        <w:t xml:space="preserve">proposed by Machado and Silva (2019) </w:t>
      </w:r>
      <w:r>
        <w:rPr>
          <w:rFonts w:ascii="Times New Roman" w:hAnsi="Times New Roman" w:cs="Times New Roman"/>
          <w:sz w:val="24"/>
          <w:szCs w:val="24"/>
        </w:rPr>
        <w:t>is applied.</w:t>
      </w:r>
      <w:r w:rsidR="00D86592">
        <w:rPr>
          <w:rFonts w:ascii="Times New Roman" w:hAnsi="Times New Roman" w:cs="Times New Roman"/>
          <w:sz w:val="24"/>
          <w:szCs w:val="24"/>
        </w:rPr>
        <w:t xml:space="preserve"> This technique is suitable for quantifying how environmental taxes influence the tourism-environmental pollution nexus by controlling for heterogeneity in the distribution. The results as depicted in Table 3, reveal a negative ef</w:t>
      </w:r>
      <w:r w:rsidR="00E83E9E">
        <w:rPr>
          <w:rFonts w:ascii="Times New Roman" w:hAnsi="Times New Roman" w:cs="Times New Roman"/>
          <w:sz w:val="24"/>
          <w:szCs w:val="24"/>
        </w:rPr>
        <w:t>fect on tourism and a positive effect of environmental taxes across the distribution of environmental performance</w:t>
      </w:r>
      <w:r w:rsidR="00D86592">
        <w:rPr>
          <w:rFonts w:ascii="Times New Roman" w:hAnsi="Times New Roman" w:cs="Times New Roman"/>
          <w:sz w:val="24"/>
          <w:szCs w:val="24"/>
        </w:rPr>
        <w:t>.</w:t>
      </w:r>
      <w:r w:rsidR="00E83E9E">
        <w:rPr>
          <w:rFonts w:ascii="Times New Roman" w:hAnsi="Times New Roman" w:cs="Times New Roman"/>
          <w:sz w:val="24"/>
          <w:szCs w:val="24"/>
        </w:rPr>
        <w:t xml:space="preserve"> However, the interaction term of tourism and environmental taxes have a positive and significant impact on environmental performance across quantiles. </w:t>
      </w:r>
      <w:r w:rsidR="00D86592">
        <w:rPr>
          <w:rFonts w:ascii="Times New Roman" w:hAnsi="Times New Roman" w:cs="Times New Roman"/>
          <w:sz w:val="24"/>
          <w:szCs w:val="24"/>
        </w:rPr>
        <w:t xml:space="preserve">The results also show that </w:t>
      </w:r>
      <w:r w:rsidR="00C77E7B">
        <w:rPr>
          <w:rFonts w:ascii="Times New Roman" w:hAnsi="Times New Roman" w:cs="Times New Roman"/>
          <w:sz w:val="24"/>
          <w:szCs w:val="24"/>
        </w:rPr>
        <w:t>renewable energy consumption has a positive and significant relationship with environmental performance in the lower and mid quantiles while in the upper quantiles its effect is negative. Similarly, an increase in</w:t>
      </w:r>
      <w:r w:rsidR="00D86592">
        <w:rPr>
          <w:rFonts w:ascii="Times New Roman" w:hAnsi="Times New Roman" w:cs="Times New Roman"/>
          <w:sz w:val="24"/>
          <w:szCs w:val="24"/>
        </w:rPr>
        <w:t xml:space="preserve"> R&amp;D </w:t>
      </w:r>
      <w:r w:rsidR="00D86592">
        <w:rPr>
          <w:rFonts w:ascii="Times New Roman" w:hAnsi="Times New Roman" w:cs="Times New Roman"/>
          <w:sz w:val="24"/>
          <w:szCs w:val="24"/>
        </w:rPr>
        <w:lastRenderedPageBreak/>
        <w:t>improve</w:t>
      </w:r>
      <w:r w:rsidR="00C77E7B">
        <w:rPr>
          <w:rFonts w:ascii="Times New Roman" w:hAnsi="Times New Roman" w:cs="Times New Roman"/>
          <w:sz w:val="24"/>
          <w:szCs w:val="24"/>
        </w:rPr>
        <w:t>s</w:t>
      </w:r>
      <w:r w:rsidR="00D86592">
        <w:rPr>
          <w:rFonts w:ascii="Times New Roman" w:hAnsi="Times New Roman" w:cs="Times New Roman"/>
          <w:sz w:val="24"/>
          <w:szCs w:val="24"/>
        </w:rPr>
        <w:t xml:space="preserve"> </w:t>
      </w:r>
      <w:r w:rsidR="00E83E9E">
        <w:rPr>
          <w:rFonts w:ascii="Times New Roman" w:hAnsi="Times New Roman" w:cs="Times New Roman"/>
          <w:sz w:val="24"/>
          <w:szCs w:val="24"/>
        </w:rPr>
        <w:t>environmental performance</w:t>
      </w:r>
      <w:r w:rsidR="00C77E7B">
        <w:rPr>
          <w:rFonts w:ascii="Times New Roman" w:hAnsi="Times New Roman" w:cs="Times New Roman"/>
          <w:sz w:val="24"/>
          <w:szCs w:val="24"/>
        </w:rPr>
        <w:t xml:space="preserve"> across quantiles</w:t>
      </w:r>
      <w:r w:rsidR="00E83E9E">
        <w:rPr>
          <w:rFonts w:ascii="Times New Roman" w:hAnsi="Times New Roman" w:cs="Times New Roman"/>
          <w:sz w:val="24"/>
          <w:szCs w:val="24"/>
        </w:rPr>
        <w:t>.</w:t>
      </w:r>
      <w:r w:rsidR="00C77E7B">
        <w:rPr>
          <w:rFonts w:ascii="Times New Roman" w:hAnsi="Times New Roman" w:cs="Times New Roman"/>
          <w:sz w:val="24"/>
          <w:szCs w:val="24"/>
        </w:rPr>
        <w:t xml:space="preserve"> </w:t>
      </w:r>
      <w:r w:rsidR="00E83E9E">
        <w:rPr>
          <w:rFonts w:ascii="Times New Roman" w:hAnsi="Times New Roman" w:cs="Times New Roman"/>
          <w:sz w:val="24"/>
          <w:szCs w:val="24"/>
        </w:rPr>
        <w:t>These effects are heterogeneous, leading to an asymmetric pattern across the distribution of environmental performance.</w:t>
      </w:r>
    </w:p>
    <w:p w14:paraId="69A0F84F" w14:textId="77777777" w:rsidR="00046E0A" w:rsidRDefault="00DF7D72" w:rsidP="002A3F22">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sidRPr="00E750C2">
        <w:rPr>
          <w:rFonts w:ascii="Times New Roman" w:hAnsi="Times New Roman" w:cs="Times New Roman"/>
          <w:b/>
          <w:sz w:val="24"/>
          <w:szCs w:val="24"/>
        </w:rPr>
        <w:t xml:space="preserve"> Discussion of finding</w:t>
      </w:r>
    </w:p>
    <w:p w14:paraId="6CD39ADF" w14:textId="1EE5C664" w:rsidR="00170CC9" w:rsidRPr="00130DEB" w:rsidRDefault="00DF7D72" w:rsidP="00170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results that the effect of i</w:t>
      </w:r>
      <w:r w:rsidR="008737A2">
        <w:rPr>
          <w:rFonts w:ascii="Times New Roman" w:hAnsi="Times New Roman" w:cs="Times New Roman"/>
          <w:sz w:val="24"/>
          <w:szCs w:val="24"/>
        </w:rPr>
        <w:t>nternational tourism receipt show</w:t>
      </w:r>
      <w:r>
        <w:rPr>
          <w:rFonts w:ascii="Times New Roman" w:hAnsi="Times New Roman" w:cs="Times New Roman"/>
          <w:sz w:val="24"/>
          <w:szCs w:val="24"/>
        </w:rPr>
        <w:t xml:space="preserve"> a negative relationship</w:t>
      </w:r>
      <w:r w:rsidR="008737A2">
        <w:rPr>
          <w:rFonts w:ascii="Times New Roman" w:hAnsi="Times New Roman" w:cs="Times New Roman"/>
          <w:sz w:val="24"/>
          <w:szCs w:val="24"/>
        </w:rPr>
        <w:t xml:space="preserve"> with environmental performance. This </w:t>
      </w:r>
      <w:r>
        <w:rPr>
          <w:rFonts w:ascii="Times New Roman" w:hAnsi="Times New Roman" w:cs="Times New Roman"/>
          <w:sz w:val="24"/>
          <w:szCs w:val="24"/>
        </w:rPr>
        <w:t>suggests a trade-off between tourism attraction and environmental quality. In other words, as EU countries are more attractive to international tourism inflows, they are exposed to environmental pollut</w:t>
      </w:r>
      <w:r w:rsidR="0062370E">
        <w:rPr>
          <w:rFonts w:ascii="Times New Roman" w:hAnsi="Times New Roman" w:cs="Times New Roman"/>
          <w:sz w:val="24"/>
          <w:szCs w:val="24"/>
        </w:rPr>
        <w:t>ion through excessive demand for energy in various sector</w:t>
      </w:r>
      <w:r w:rsidR="00095CC4">
        <w:rPr>
          <w:rFonts w:ascii="Times New Roman" w:hAnsi="Times New Roman" w:cs="Times New Roman"/>
          <w:sz w:val="24"/>
          <w:szCs w:val="24"/>
        </w:rPr>
        <w:t>s of the economy such as</w:t>
      </w:r>
      <w:r w:rsidR="0062370E">
        <w:rPr>
          <w:rFonts w:ascii="Times New Roman" w:hAnsi="Times New Roman" w:cs="Times New Roman"/>
          <w:sz w:val="24"/>
          <w:szCs w:val="24"/>
        </w:rPr>
        <w:t xml:space="preserve"> transport, catering, hotel and restaurant, accommodation, </w:t>
      </w:r>
      <w:r w:rsidR="00B34358">
        <w:rPr>
          <w:rFonts w:ascii="Times New Roman" w:hAnsi="Times New Roman" w:cs="Times New Roman"/>
          <w:sz w:val="24"/>
          <w:szCs w:val="24"/>
        </w:rPr>
        <w:t>etc</w:t>
      </w:r>
      <w:r w:rsidR="00B34358" w:rsidRPr="00BB6ABF">
        <w:rPr>
          <w:rFonts w:ascii="Times New Roman" w:hAnsi="Times New Roman" w:cs="Times New Roman"/>
          <w:sz w:val="24"/>
          <w:szCs w:val="24"/>
        </w:rPr>
        <w:t>.</w:t>
      </w:r>
      <w:r w:rsidR="00BB6ABF" w:rsidRPr="00BB6ABF">
        <w:rPr>
          <w:rFonts w:ascii="Times New Roman" w:hAnsi="Times New Roman" w:cs="Times New Roman"/>
          <w:color w:val="131413"/>
          <w:sz w:val="24"/>
          <w:szCs w:val="24"/>
        </w:rPr>
        <w:t xml:space="preserve"> Mor</w:t>
      </w:r>
      <w:r w:rsidR="00BB6ABF">
        <w:rPr>
          <w:rFonts w:ascii="Times New Roman" w:hAnsi="Times New Roman" w:cs="Times New Roman"/>
          <w:color w:val="131413"/>
          <w:sz w:val="24"/>
          <w:szCs w:val="24"/>
        </w:rPr>
        <w:t>e</w:t>
      </w:r>
      <w:r w:rsidR="00BB6ABF" w:rsidRPr="00BB6ABF">
        <w:rPr>
          <w:rFonts w:ascii="Times New Roman" w:hAnsi="Times New Roman" w:cs="Times New Roman"/>
          <w:color w:val="131413"/>
          <w:sz w:val="24"/>
          <w:szCs w:val="24"/>
        </w:rPr>
        <w:t>over,</w:t>
      </w:r>
      <w:r w:rsidR="00BB6ABF">
        <w:rPr>
          <w:rFonts w:ascii="FfpqjdAdvTT99c4c969" w:hAnsi="FfpqjdAdvTT99c4c969" w:cs="FfpqjdAdvTT99c4c969"/>
          <w:color w:val="131413"/>
          <w:sz w:val="20"/>
          <w:szCs w:val="20"/>
        </w:rPr>
        <w:t xml:space="preserve"> </w:t>
      </w:r>
      <w:r w:rsidR="00BB6ABF">
        <w:rPr>
          <w:rFonts w:ascii="Times New Roman" w:hAnsi="Times New Roman" w:cs="Times New Roman"/>
          <w:color w:val="000000"/>
          <w:sz w:val="24"/>
          <w:szCs w:val="24"/>
        </w:rPr>
        <w:t>t</w:t>
      </w:r>
      <w:r w:rsidR="00B02973">
        <w:rPr>
          <w:rFonts w:ascii="Times New Roman" w:hAnsi="Times New Roman" w:cs="Times New Roman"/>
          <w:color w:val="000000"/>
          <w:sz w:val="24"/>
          <w:szCs w:val="24"/>
        </w:rPr>
        <w:t xml:space="preserve">he </w:t>
      </w:r>
      <w:r w:rsidR="00B34358">
        <w:rPr>
          <w:rFonts w:ascii="Times New Roman" w:hAnsi="Times New Roman" w:cs="Times New Roman"/>
          <w:color w:val="000000"/>
          <w:sz w:val="24"/>
          <w:szCs w:val="24"/>
        </w:rPr>
        <w:t>effect of environmental taxes on</w:t>
      </w:r>
      <w:r w:rsidR="00FC33E4">
        <w:rPr>
          <w:rFonts w:ascii="Times New Roman" w:hAnsi="Times New Roman" w:cs="Times New Roman"/>
          <w:color w:val="000000"/>
          <w:sz w:val="24"/>
          <w:szCs w:val="24"/>
        </w:rPr>
        <w:t xml:space="preserve"> the relationship between tourism and</w:t>
      </w:r>
      <w:r w:rsidR="00B02973">
        <w:rPr>
          <w:rFonts w:ascii="Times New Roman" w:hAnsi="Times New Roman" w:cs="Times New Roman"/>
          <w:color w:val="000000"/>
          <w:sz w:val="24"/>
          <w:szCs w:val="24"/>
        </w:rPr>
        <w:t xml:space="preserve"> environmental performance is dependent on levels of environmental taxes. W</w:t>
      </w:r>
      <w:r w:rsidR="00FC33E4">
        <w:rPr>
          <w:rFonts w:ascii="Times New Roman" w:hAnsi="Times New Roman" w:cs="Times New Roman"/>
          <w:color w:val="000000"/>
          <w:sz w:val="24"/>
          <w:szCs w:val="24"/>
        </w:rPr>
        <w:t>hen total</w:t>
      </w:r>
      <w:r w:rsidR="00B34358">
        <w:rPr>
          <w:rFonts w:ascii="Times New Roman" w:hAnsi="Times New Roman" w:cs="Times New Roman"/>
          <w:color w:val="000000"/>
          <w:sz w:val="24"/>
          <w:szCs w:val="24"/>
        </w:rPr>
        <w:t xml:space="preserve"> environmental taxes (energy taxes, pollution taxes</w:t>
      </w:r>
      <w:r w:rsidR="00FC33E4">
        <w:rPr>
          <w:rFonts w:ascii="Times New Roman" w:hAnsi="Times New Roman" w:cs="Times New Roman"/>
          <w:color w:val="000000"/>
          <w:sz w:val="24"/>
          <w:szCs w:val="24"/>
        </w:rPr>
        <w:t xml:space="preserve">, and transportation taxes) are lower than the </w:t>
      </w:r>
      <w:r w:rsidR="00B02973">
        <w:rPr>
          <w:rFonts w:ascii="Times New Roman" w:hAnsi="Times New Roman" w:cs="Times New Roman"/>
          <w:color w:val="000000"/>
          <w:sz w:val="24"/>
          <w:szCs w:val="24"/>
        </w:rPr>
        <w:t>estimated threshold</w:t>
      </w:r>
      <w:r>
        <w:rPr>
          <w:rFonts w:ascii="Times New Roman" w:hAnsi="Times New Roman" w:cs="Times New Roman"/>
          <w:color w:val="000000"/>
          <w:sz w:val="24"/>
          <w:szCs w:val="24"/>
        </w:rPr>
        <w:t xml:space="preserve"> level</w:t>
      </w:r>
      <w:r w:rsidR="00B34358">
        <w:rPr>
          <w:rFonts w:ascii="Times New Roman" w:hAnsi="Times New Roman" w:cs="Times New Roman"/>
          <w:color w:val="000000"/>
          <w:sz w:val="24"/>
          <w:szCs w:val="24"/>
        </w:rPr>
        <w:t>,</w:t>
      </w:r>
      <w:r w:rsidR="00B02973">
        <w:rPr>
          <w:rFonts w:ascii="Times New Roman" w:hAnsi="Times New Roman" w:cs="Times New Roman"/>
          <w:color w:val="000000"/>
          <w:sz w:val="24"/>
          <w:szCs w:val="24"/>
        </w:rPr>
        <w:t xml:space="preserve"> an increase in</w:t>
      </w:r>
      <w:r w:rsidR="00FC33E4">
        <w:rPr>
          <w:rFonts w:ascii="Times New Roman" w:hAnsi="Times New Roman" w:cs="Times New Roman"/>
          <w:color w:val="000000"/>
          <w:sz w:val="24"/>
          <w:szCs w:val="24"/>
        </w:rPr>
        <w:t xml:space="preserve"> international tourism receipt tends to decrease environmental performance</w:t>
      </w:r>
      <w:r w:rsidR="00B02973">
        <w:rPr>
          <w:rFonts w:ascii="Times New Roman" w:hAnsi="Times New Roman" w:cs="Times New Roman"/>
          <w:color w:val="000000"/>
          <w:sz w:val="24"/>
          <w:szCs w:val="24"/>
        </w:rPr>
        <w:t xml:space="preserve"> but when environmental taxes cross the estimated threshold</w:t>
      </w:r>
      <w:r>
        <w:rPr>
          <w:rFonts w:ascii="Times New Roman" w:hAnsi="Times New Roman" w:cs="Times New Roman"/>
          <w:color w:val="000000"/>
          <w:sz w:val="24"/>
          <w:szCs w:val="24"/>
        </w:rPr>
        <w:t xml:space="preserve"> level</w:t>
      </w:r>
      <w:r w:rsidR="00B02973">
        <w:rPr>
          <w:rFonts w:ascii="Times New Roman" w:hAnsi="Times New Roman" w:cs="Times New Roman"/>
          <w:color w:val="000000"/>
          <w:sz w:val="24"/>
          <w:szCs w:val="24"/>
        </w:rPr>
        <w:t>, an increase in international tourism receipt tends to incr</w:t>
      </w:r>
      <w:r w:rsidR="00BB6ABF">
        <w:rPr>
          <w:rFonts w:ascii="Times New Roman" w:hAnsi="Times New Roman" w:cs="Times New Roman"/>
          <w:color w:val="000000"/>
          <w:sz w:val="24"/>
          <w:szCs w:val="24"/>
        </w:rPr>
        <w:t xml:space="preserve">ease environmental performance. </w:t>
      </w:r>
      <w:r>
        <w:rPr>
          <w:rFonts w:ascii="Times New Roman" w:hAnsi="Times New Roman" w:cs="Times New Roman"/>
          <w:color w:val="000000"/>
          <w:sz w:val="24"/>
          <w:szCs w:val="24"/>
        </w:rPr>
        <w:t xml:space="preserve">Therefore, the negative effect of tourism on environmental performance </w:t>
      </w:r>
      <w:r w:rsidR="0078143E">
        <w:rPr>
          <w:rFonts w:ascii="Times New Roman" w:hAnsi="Times New Roman" w:cs="Times New Roman"/>
          <w:color w:val="000000"/>
          <w:sz w:val="24"/>
          <w:szCs w:val="24"/>
        </w:rPr>
        <w:t xml:space="preserve">is consistent </w:t>
      </w:r>
      <w:r w:rsidR="0078143E" w:rsidRPr="0078143E">
        <w:rPr>
          <w:rFonts w:ascii="Times New Roman" w:hAnsi="Times New Roman" w:cs="Times New Roman"/>
          <w:sz w:val="24"/>
          <w:szCs w:val="24"/>
        </w:rPr>
        <w:t>with Katircioğlu</w:t>
      </w:r>
      <w:r w:rsidR="00277DE9">
        <w:rPr>
          <w:rFonts w:ascii="Times New Roman" w:hAnsi="Times New Roman" w:cs="Times New Roman"/>
          <w:sz w:val="24"/>
          <w:szCs w:val="24"/>
        </w:rPr>
        <w:t xml:space="preserve"> et al, (2014) and </w:t>
      </w:r>
      <w:proofErr w:type="spellStart"/>
      <w:r w:rsidR="00277DE9" w:rsidRPr="0078143E">
        <w:rPr>
          <w:rFonts w:ascii="Times New Roman" w:hAnsi="Times New Roman" w:cs="Times New Roman"/>
          <w:sz w:val="24"/>
          <w:szCs w:val="24"/>
        </w:rPr>
        <w:t>Roudi</w:t>
      </w:r>
      <w:proofErr w:type="spellEnd"/>
      <w:r w:rsidR="00277DE9" w:rsidRPr="0078143E">
        <w:rPr>
          <w:rFonts w:ascii="Times New Roman" w:hAnsi="Times New Roman" w:cs="Times New Roman"/>
          <w:sz w:val="24"/>
          <w:szCs w:val="24"/>
        </w:rPr>
        <w:t xml:space="preserve"> et al., (</w:t>
      </w:r>
      <w:r w:rsidR="00277DE9">
        <w:rPr>
          <w:rFonts w:ascii="Times New Roman" w:hAnsi="Times New Roman" w:cs="Times New Roman"/>
          <w:sz w:val="24"/>
          <w:szCs w:val="24"/>
        </w:rPr>
        <w:t>2019</w:t>
      </w:r>
      <w:r w:rsidR="00277DE9" w:rsidRPr="0078143E">
        <w:rPr>
          <w:rFonts w:ascii="Times New Roman" w:hAnsi="Times New Roman" w:cs="Times New Roman"/>
          <w:sz w:val="24"/>
          <w:szCs w:val="24"/>
        </w:rPr>
        <w:t>)</w:t>
      </w:r>
      <w:r w:rsidR="007814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while the positive effect of tourism on environmental performance signals successful policies of energy conservatio</w:t>
      </w:r>
      <w:r w:rsidR="00277DE9">
        <w:rPr>
          <w:rFonts w:ascii="Times New Roman" w:hAnsi="Times New Roman" w:cs="Times New Roman"/>
          <w:color w:val="000000"/>
          <w:sz w:val="24"/>
          <w:szCs w:val="24"/>
        </w:rPr>
        <w:t>n in tourism attraction. Thus, our</w:t>
      </w:r>
      <w:r>
        <w:rPr>
          <w:rFonts w:ascii="Times New Roman" w:hAnsi="Times New Roman" w:cs="Times New Roman"/>
          <w:color w:val="000000"/>
          <w:sz w:val="24"/>
          <w:szCs w:val="24"/>
        </w:rPr>
        <w:t xml:space="preserve"> finding is consistent with </w:t>
      </w:r>
      <w:r w:rsidRPr="00BB6ABF">
        <w:rPr>
          <w:rFonts w:ascii="Times New Roman" w:hAnsi="Times New Roman" w:cs="Times New Roman"/>
          <w:sz w:val="24"/>
          <w:szCs w:val="24"/>
        </w:rPr>
        <w:t>Katircioğlu</w:t>
      </w:r>
      <w:r>
        <w:rPr>
          <w:rFonts w:ascii="Times New Roman" w:hAnsi="Times New Roman" w:cs="Times New Roman"/>
          <w:sz w:val="24"/>
          <w:szCs w:val="24"/>
        </w:rPr>
        <w:t xml:space="preserve"> (2014) who finds that an increase in tourism arrival condenses CO2 emissions in Singapore, and Aziz et al. (2020) wherein it is documented that as tourism increases, environmental degradation decreases across quantiles 0.1 to 0.4 in BRICS. </w:t>
      </w:r>
    </w:p>
    <w:p w14:paraId="0CE9404C" w14:textId="77777777" w:rsidR="00950722" w:rsidRDefault="00DF7D72" w:rsidP="00130DEB">
      <w:pPr>
        <w:spacing w:before="240"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In furtherance of checking the efficacies of environmental taxes in stimulating environmental performance, the quantile results of the interaction term of </w:t>
      </w:r>
      <w:r w:rsidR="002563E6">
        <w:rPr>
          <w:rFonts w:ascii="Times New Roman" w:hAnsi="Times New Roman" w:cs="Times New Roman"/>
          <w:color w:val="000000"/>
          <w:sz w:val="24"/>
          <w:szCs w:val="24"/>
        </w:rPr>
        <w:t xml:space="preserve">tourism and environmental taxes unveil an improvement in environmental performance. This means that when tourism and environmental taxes interact with each other, </w:t>
      </w:r>
      <w:r>
        <w:rPr>
          <w:rFonts w:ascii="Times New Roman" w:hAnsi="Times New Roman" w:cs="Times New Roman"/>
          <w:color w:val="000000"/>
          <w:sz w:val="24"/>
          <w:szCs w:val="24"/>
        </w:rPr>
        <w:t>their effect turns out to be</w:t>
      </w:r>
      <w:r w:rsidR="002563E6">
        <w:rPr>
          <w:rFonts w:ascii="Times New Roman" w:hAnsi="Times New Roman" w:cs="Times New Roman"/>
          <w:color w:val="000000"/>
          <w:sz w:val="24"/>
          <w:szCs w:val="24"/>
        </w:rPr>
        <w:t xml:space="preserve"> environment friendly. The plausible explanation is that, </w:t>
      </w:r>
      <w:r w:rsidR="00B34358">
        <w:rPr>
          <w:rFonts w:ascii="Times New Roman" w:hAnsi="Times New Roman" w:cs="Times New Roman"/>
          <w:color w:val="000000"/>
          <w:sz w:val="24"/>
          <w:szCs w:val="24"/>
        </w:rPr>
        <w:t xml:space="preserve">from the perspective </w:t>
      </w:r>
      <w:r>
        <w:rPr>
          <w:rFonts w:ascii="Times New Roman" w:hAnsi="Times New Roman" w:cs="Times New Roman"/>
          <w:color w:val="000000"/>
          <w:sz w:val="24"/>
          <w:szCs w:val="24"/>
        </w:rPr>
        <w:t xml:space="preserve">of </w:t>
      </w:r>
      <w:r w:rsidR="002563E6">
        <w:rPr>
          <w:rFonts w:ascii="Times New Roman" w:hAnsi="Times New Roman" w:cs="Times New Roman"/>
          <w:color w:val="000000"/>
          <w:sz w:val="24"/>
          <w:szCs w:val="24"/>
        </w:rPr>
        <w:t xml:space="preserve">double hypothesis, </w:t>
      </w:r>
      <w:r w:rsidR="00B34358">
        <w:rPr>
          <w:rFonts w:ascii="Times New Roman" w:hAnsi="Times New Roman" w:cs="Times New Roman"/>
          <w:color w:val="000000"/>
          <w:sz w:val="24"/>
          <w:szCs w:val="24"/>
        </w:rPr>
        <w:t>taxes are always intended to internalize the negative externalities of households, firms, and industries who en</w:t>
      </w:r>
      <w:r w:rsidR="002563E6">
        <w:rPr>
          <w:rFonts w:ascii="Times New Roman" w:hAnsi="Times New Roman" w:cs="Times New Roman"/>
          <w:color w:val="000000"/>
          <w:sz w:val="24"/>
          <w:szCs w:val="24"/>
        </w:rPr>
        <w:t>gage in environmental pollution by changing their behaviours toward cleaner production and consumption of energy</w:t>
      </w:r>
      <w:r w:rsidR="0078143E">
        <w:rPr>
          <w:rFonts w:ascii="Times New Roman" w:hAnsi="Times New Roman" w:cs="Times New Roman"/>
          <w:color w:val="000000"/>
          <w:sz w:val="24"/>
          <w:szCs w:val="24"/>
        </w:rPr>
        <w:t>.</w:t>
      </w:r>
      <w:r w:rsidR="00B34358">
        <w:rPr>
          <w:rFonts w:ascii="Times New Roman" w:hAnsi="Times New Roman" w:cs="Times New Roman"/>
          <w:color w:val="000000"/>
          <w:sz w:val="24"/>
          <w:szCs w:val="24"/>
        </w:rPr>
        <w:t xml:space="preserve"> As taxes are imposed on certain commodities by the government, the adverse effects of pollution are averted because of the high cost of consuming such commodities. </w:t>
      </w:r>
      <w:r w:rsidR="00FC33E4">
        <w:rPr>
          <w:rFonts w:ascii="Times New Roman" w:hAnsi="Times New Roman" w:cs="Times New Roman"/>
          <w:color w:val="000000"/>
          <w:sz w:val="24"/>
          <w:szCs w:val="24"/>
        </w:rPr>
        <w:t xml:space="preserve">Thus, the finding is consistent with </w:t>
      </w:r>
      <w:r w:rsidR="0078143E">
        <w:rPr>
          <w:rFonts w:ascii="Times New Roman" w:hAnsi="Times New Roman" w:cs="Times New Roman"/>
          <w:color w:val="000000"/>
          <w:sz w:val="24"/>
          <w:szCs w:val="24"/>
        </w:rPr>
        <w:t xml:space="preserve">the earlier findings of </w:t>
      </w:r>
      <w:r w:rsidR="00FC33E4">
        <w:rPr>
          <w:rFonts w:ascii="Times New Roman" w:hAnsi="Times New Roman" w:cs="Times New Roman"/>
          <w:color w:val="000000"/>
          <w:sz w:val="24"/>
          <w:szCs w:val="24"/>
        </w:rPr>
        <w:t xml:space="preserve">Tol. (2017), Costa-Campi et al. (2017), Aydin and </w:t>
      </w:r>
      <w:proofErr w:type="spellStart"/>
      <w:r w:rsidR="00FC33E4">
        <w:rPr>
          <w:rFonts w:ascii="Times New Roman" w:hAnsi="Times New Roman" w:cs="Times New Roman"/>
          <w:color w:val="000000"/>
          <w:sz w:val="24"/>
          <w:szCs w:val="24"/>
        </w:rPr>
        <w:t>Ezen</w:t>
      </w:r>
      <w:proofErr w:type="spellEnd"/>
      <w:r w:rsidR="00FC33E4">
        <w:rPr>
          <w:rFonts w:ascii="Times New Roman" w:hAnsi="Times New Roman" w:cs="Times New Roman"/>
          <w:color w:val="000000"/>
          <w:sz w:val="24"/>
          <w:szCs w:val="24"/>
        </w:rPr>
        <w:t xml:space="preserve"> (2018), Borozan (2019) and </w:t>
      </w:r>
      <w:r w:rsidR="00FC33E4" w:rsidRPr="00FC33E4">
        <w:rPr>
          <w:rFonts w:ascii="Times New Roman" w:hAnsi="Times New Roman" w:cs="Times New Roman"/>
          <w:sz w:val="24"/>
          <w:szCs w:val="24"/>
        </w:rPr>
        <w:t>Wolde</w:t>
      </w:r>
      <w:r w:rsidR="00FC33E4" w:rsidRPr="00FC33E4">
        <w:rPr>
          <w:rFonts w:ascii="Cambria Math" w:hAnsi="Cambria Math" w:cs="Cambria Math"/>
          <w:sz w:val="24"/>
          <w:szCs w:val="24"/>
        </w:rPr>
        <w:t>‑</w:t>
      </w:r>
      <w:r w:rsidR="00277DE9">
        <w:rPr>
          <w:rFonts w:ascii="Times New Roman" w:hAnsi="Times New Roman" w:cs="Times New Roman"/>
          <w:sz w:val="24"/>
          <w:szCs w:val="24"/>
        </w:rPr>
        <w:t>Rufael and</w:t>
      </w:r>
      <w:r w:rsidR="00FC33E4" w:rsidRPr="00FC33E4">
        <w:rPr>
          <w:rFonts w:ascii="Times New Roman" w:hAnsi="Times New Roman" w:cs="Times New Roman"/>
          <w:sz w:val="24"/>
          <w:szCs w:val="24"/>
        </w:rPr>
        <w:t xml:space="preserve"> Mulat</w:t>
      </w:r>
      <w:r w:rsidR="00FC33E4" w:rsidRPr="00FC33E4">
        <w:rPr>
          <w:rFonts w:ascii="Cambria Math" w:hAnsi="Cambria Math" w:cs="Cambria Math"/>
          <w:sz w:val="24"/>
          <w:szCs w:val="24"/>
        </w:rPr>
        <w:t>‑</w:t>
      </w:r>
      <w:r w:rsidR="00FC33E4" w:rsidRPr="00FC33E4">
        <w:rPr>
          <w:rFonts w:ascii="Times New Roman" w:hAnsi="Times New Roman" w:cs="Times New Roman"/>
          <w:sz w:val="24"/>
          <w:szCs w:val="24"/>
        </w:rPr>
        <w:t>weldemeskel (2022)</w:t>
      </w:r>
      <w:r w:rsidR="00FC33E4">
        <w:rPr>
          <w:rFonts w:ascii="Times New Roman" w:hAnsi="Times New Roman" w:cs="Times New Roman"/>
          <w:sz w:val="24"/>
          <w:szCs w:val="24"/>
        </w:rPr>
        <w:t>.</w:t>
      </w:r>
    </w:p>
    <w:p w14:paraId="6B544AA5" w14:textId="77777777" w:rsidR="00F0503A" w:rsidRDefault="00F0503A" w:rsidP="00F0503A">
      <w:pPr>
        <w:spacing w:after="0" w:line="240" w:lineRule="auto"/>
        <w:jc w:val="both"/>
        <w:rPr>
          <w:rFonts w:ascii="Times New Roman" w:hAnsi="Times New Roman" w:cs="Times New Roman"/>
          <w:sz w:val="24"/>
          <w:szCs w:val="24"/>
        </w:rPr>
      </w:pPr>
    </w:p>
    <w:p w14:paraId="4519814C" w14:textId="78554A7F" w:rsidR="00F0503A" w:rsidRPr="002A3F22" w:rsidRDefault="00DF7D72" w:rsidP="00130DEB">
      <w:pPr>
        <w:spacing w:before="240"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Furthermore, the negative effect of economic activities indicates that policies to accelerate economic growth deteriorate environmental performance in the region. This implies that economic growth pursuit requires high demand for energy consumption which increases the level of environmental degradation through an increase in all components of greenhouse gases. This result is consistent with Usman et al. (2019; 2022) who find economic growth to have exerted a negative effect on greenhouse gas emissions in EU-28 countries. Also, the positive effect of renewable energy implies that</w:t>
      </w:r>
      <w:r w:rsidR="00B35E73">
        <w:rPr>
          <w:rFonts w:ascii="Times New Roman" w:hAnsi="Times New Roman" w:cs="Times New Roman"/>
          <w:sz w:val="24"/>
          <w:szCs w:val="24"/>
        </w:rPr>
        <w:t xml:space="preserve"> as renewable energy increases, </w:t>
      </w:r>
      <w:r>
        <w:rPr>
          <w:rFonts w:ascii="Times New Roman" w:hAnsi="Times New Roman" w:cs="Times New Roman"/>
          <w:sz w:val="24"/>
          <w:szCs w:val="24"/>
        </w:rPr>
        <w:t>environmental performance would also increase due to the zero-pollution effect of renewable energy which is consistent with a study by Alola et al. (2021) that renewable energy reduces greenhouse gas emissions in EU-28 countries. This is also consistent with recent studies like Usman et al. (2022) for Nigeria and Iorember et al. (2022) for African OPEC countries.</w:t>
      </w:r>
      <w:r w:rsidR="00B35E73">
        <w:rPr>
          <w:rFonts w:ascii="Times New Roman" w:hAnsi="Times New Roman" w:cs="Times New Roman"/>
          <w:sz w:val="24"/>
          <w:szCs w:val="24"/>
        </w:rPr>
        <w:t xml:space="preserve"> Finally, the positively significant effect of R&amp;D on environmental performance suggests that research and development induce technologies that help to restructure production and consumption patterns </w:t>
      </w:r>
      <w:r w:rsidR="00B35E73">
        <w:rPr>
          <w:rFonts w:ascii="Times New Roman" w:hAnsi="Times New Roman" w:cs="Times New Roman"/>
          <w:sz w:val="24"/>
          <w:szCs w:val="24"/>
        </w:rPr>
        <w:lastRenderedPageBreak/>
        <w:t xml:space="preserve">of energy towards the </w:t>
      </w:r>
      <w:r w:rsidR="002A3F22" w:rsidRPr="002A3F22">
        <w:rPr>
          <w:rFonts w:ascii="Times New Roman" w:hAnsi="Times New Roman" w:cs="Times New Roman"/>
          <w:color w:val="FF0000"/>
          <w:sz w:val="24"/>
          <w:szCs w:val="24"/>
        </w:rPr>
        <w:t>eco-friendlier</w:t>
      </w:r>
      <w:r w:rsidR="00B35E73" w:rsidRPr="002A3F22">
        <w:rPr>
          <w:rFonts w:ascii="Times New Roman" w:hAnsi="Times New Roman" w:cs="Times New Roman"/>
          <w:color w:val="FF0000"/>
          <w:sz w:val="24"/>
          <w:szCs w:val="24"/>
        </w:rPr>
        <w:t xml:space="preserve"> </w:t>
      </w:r>
      <w:r w:rsidR="00B35E73">
        <w:rPr>
          <w:rFonts w:ascii="Times New Roman" w:hAnsi="Times New Roman" w:cs="Times New Roman"/>
          <w:sz w:val="24"/>
          <w:szCs w:val="24"/>
        </w:rPr>
        <w:t>product as demonstrated by Usman et al. (2021) for G7 countries.</w:t>
      </w:r>
    </w:p>
    <w:p w14:paraId="7E821D5E" w14:textId="77777777" w:rsidR="006E5D29" w:rsidRPr="00046E0A" w:rsidRDefault="00DF7D72" w:rsidP="002A3F22">
      <w:pPr>
        <w:spacing w:before="240" w:after="0" w:line="240" w:lineRule="auto"/>
        <w:jc w:val="both"/>
        <w:rPr>
          <w:rFonts w:ascii="Times New Roman" w:hAnsi="Times New Roman" w:cs="Times New Roman"/>
          <w:b/>
          <w:sz w:val="28"/>
          <w:szCs w:val="28"/>
        </w:rPr>
      </w:pPr>
      <w:r w:rsidRPr="00046E0A">
        <w:rPr>
          <w:rFonts w:ascii="Times New Roman" w:hAnsi="Times New Roman" w:cs="Times New Roman"/>
          <w:b/>
          <w:sz w:val="28"/>
          <w:szCs w:val="28"/>
        </w:rPr>
        <w:t>5</w:t>
      </w:r>
      <w:r w:rsidR="00B35E73">
        <w:rPr>
          <w:rFonts w:ascii="Times New Roman" w:hAnsi="Times New Roman" w:cs="Times New Roman"/>
          <w:b/>
          <w:sz w:val="28"/>
          <w:szCs w:val="28"/>
        </w:rPr>
        <w:t>.</w:t>
      </w:r>
      <w:r w:rsidRPr="00046E0A">
        <w:rPr>
          <w:rFonts w:ascii="Times New Roman" w:hAnsi="Times New Roman" w:cs="Times New Roman"/>
          <w:b/>
          <w:sz w:val="28"/>
          <w:szCs w:val="28"/>
        </w:rPr>
        <w:t xml:space="preserve"> Conclusion</w:t>
      </w:r>
    </w:p>
    <w:p w14:paraId="7F0959F9" w14:textId="7B17DEB9" w:rsidR="000A5F5B" w:rsidRDefault="00DF7D72" w:rsidP="00BE06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Over the years, governments at all levels, policymakers, and scientists have been committed to finding appropriate ways to combat the environmental consequences of human activities without hurting or compromising economic growth. </w:t>
      </w:r>
      <w:r w:rsidR="00AA12D9">
        <w:rPr>
          <w:rFonts w:ascii="Times New Roman" w:hAnsi="Times New Roman" w:cs="Times New Roman"/>
          <w:sz w:val="24"/>
          <w:szCs w:val="24"/>
        </w:rPr>
        <w:t xml:space="preserve">Therefore, this study aims at evaluating the effectiveness of total environmental taxes in influencing the impact of tourism on environmental performance </w:t>
      </w:r>
      <w:r w:rsidR="00443947">
        <w:rPr>
          <w:rFonts w:ascii="Times New Roman" w:hAnsi="Times New Roman" w:cs="Times New Roman"/>
          <w:sz w:val="24"/>
          <w:szCs w:val="24"/>
        </w:rPr>
        <w:t>in EU-28 countri</w:t>
      </w:r>
      <w:r w:rsidR="001300E9">
        <w:rPr>
          <w:rFonts w:ascii="Times New Roman" w:hAnsi="Times New Roman" w:cs="Times New Roman"/>
          <w:sz w:val="24"/>
          <w:szCs w:val="24"/>
        </w:rPr>
        <w:t>es. To realize this objective, a</w:t>
      </w:r>
      <w:r w:rsidR="00443947">
        <w:rPr>
          <w:rFonts w:ascii="Times New Roman" w:hAnsi="Times New Roman" w:cs="Times New Roman"/>
          <w:sz w:val="24"/>
          <w:szCs w:val="24"/>
        </w:rPr>
        <w:t xml:space="preserve"> </w:t>
      </w:r>
      <w:r w:rsidR="00443947">
        <w:rPr>
          <w:rFonts w:asciiTheme="majorBidi" w:hAnsiTheme="majorBidi" w:cstheme="majorBidi"/>
          <w:sz w:val="24"/>
          <w:szCs w:val="24"/>
          <w:lang w:val="en-US"/>
        </w:rPr>
        <w:t xml:space="preserve">Likelihood Ratio (LR) test is conducted </w:t>
      </w:r>
      <w:r w:rsidR="001300E9">
        <w:rPr>
          <w:rFonts w:asciiTheme="majorBidi" w:hAnsiTheme="majorBidi" w:cstheme="majorBidi"/>
          <w:sz w:val="24"/>
          <w:szCs w:val="24"/>
          <w:lang w:val="en-US"/>
        </w:rPr>
        <w:t xml:space="preserve">for three null hypotheses </w:t>
      </w:r>
      <w:r w:rsidR="00443947">
        <w:rPr>
          <w:rFonts w:asciiTheme="majorBidi" w:hAnsiTheme="majorBidi" w:cstheme="majorBidi"/>
          <w:sz w:val="24"/>
          <w:szCs w:val="24"/>
          <w:lang w:val="en-US"/>
        </w:rPr>
        <w:t>to determine the threshold effect</w:t>
      </w:r>
      <w:r w:rsidR="001300E9">
        <w:rPr>
          <w:rFonts w:asciiTheme="majorBidi" w:hAnsiTheme="majorBidi" w:cstheme="majorBidi"/>
          <w:sz w:val="24"/>
          <w:szCs w:val="24"/>
          <w:lang w:val="en-US"/>
        </w:rPr>
        <w:t>s</w:t>
      </w:r>
      <w:r w:rsidR="00443947">
        <w:rPr>
          <w:rFonts w:asciiTheme="majorBidi" w:hAnsiTheme="majorBidi" w:cstheme="majorBidi"/>
          <w:sz w:val="24"/>
          <w:szCs w:val="24"/>
          <w:lang w:val="en-US"/>
        </w:rPr>
        <w:t xml:space="preserve"> in the relationship. </w:t>
      </w:r>
      <w:r w:rsidR="001300E9">
        <w:rPr>
          <w:rFonts w:asciiTheme="majorBidi" w:hAnsiTheme="majorBidi" w:cstheme="majorBidi"/>
          <w:sz w:val="24"/>
          <w:szCs w:val="24"/>
          <w:lang w:val="en-US"/>
        </w:rPr>
        <w:t xml:space="preserve">The results </w:t>
      </w:r>
      <w:r w:rsidR="00896486">
        <w:rPr>
          <w:rFonts w:asciiTheme="majorBidi" w:hAnsiTheme="majorBidi" w:cstheme="majorBidi"/>
          <w:sz w:val="24"/>
          <w:szCs w:val="24"/>
          <w:lang w:val="en-US"/>
        </w:rPr>
        <w:t xml:space="preserve">of these tests </w:t>
      </w:r>
      <w:r w:rsidR="001300E9">
        <w:rPr>
          <w:rFonts w:asciiTheme="majorBidi" w:hAnsiTheme="majorBidi" w:cstheme="majorBidi"/>
          <w:sz w:val="24"/>
          <w:szCs w:val="24"/>
          <w:lang w:val="en-US"/>
        </w:rPr>
        <w:t xml:space="preserve">suggest </w:t>
      </w:r>
      <w:r w:rsidR="006E5D29">
        <w:rPr>
          <w:rFonts w:ascii="Times New Roman" w:hAnsi="Times New Roman" w:cs="Times New Roman"/>
          <w:sz w:val="24"/>
          <w:szCs w:val="24"/>
        </w:rPr>
        <w:t>a single</w:t>
      </w:r>
      <w:r w:rsidR="001300E9">
        <w:rPr>
          <w:rFonts w:ascii="Times New Roman" w:hAnsi="Times New Roman" w:cs="Times New Roman"/>
          <w:sz w:val="24"/>
          <w:szCs w:val="24"/>
        </w:rPr>
        <w:t xml:space="preserve"> </w:t>
      </w:r>
      <w:r w:rsidR="00896486">
        <w:rPr>
          <w:rFonts w:ascii="Times New Roman" w:hAnsi="Times New Roman" w:cs="Times New Roman"/>
          <w:sz w:val="24"/>
          <w:szCs w:val="24"/>
        </w:rPr>
        <w:t>threshold effect, and hence t</w:t>
      </w:r>
      <w:r w:rsidR="001300E9">
        <w:rPr>
          <w:rFonts w:ascii="Times New Roman" w:hAnsi="Times New Roman" w:cs="Times New Roman"/>
          <w:sz w:val="24"/>
          <w:szCs w:val="24"/>
        </w:rPr>
        <w:t>he</w:t>
      </w:r>
      <w:r w:rsidR="006E5D29">
        <w:rPr>
          <w:rFonts w:ascii="Times New Roman" w:hAnsi="Times New Roman" w:cs="Times New Roman"/>
          <w:sz w:val="24"/>
          <w:szCs w:val="24"/>
        </w:rPr>
        <w:t xml:space="preserve"> est</w:t>
      </w:r>
      <w:r w:rsidR="001300E9">
        <w:rPr>
          <w:rFonts w:ascii="Times New Roman" w:hAnsi="Times New Roman" w:cs="Times New Roman"/>
          <w:sz w:val="24"/>
          <w:szCs w:val="24"/>
        </w:rPr>
        <w:t xml:space="preserve">imated threshold value of 5.48 is found. This </w:t>
      </w:r>
      <w:r w:rsidR="006E5D29">
        <w:rPr>
          <w:rFonts w:ascii="Times New Roman" w:hAnsi="Times New Roman" w:cs="Times New Roman"/>
          <w:sz w:val="24"/>
          <w:szCs w:val="24"/>
        </w:rPr>
        <w:t>sug</w:t>
      </w:r>
      <w:r w:rsidR="001300E9">
        <w:rPr>
          <w:rFonts w:ascii="Times New Roman" w:hAnsi="Times New Roman" w:cs="Times New Roman"/>
          <w:sz w:val="24"/>
          <w:szCs w:val="24"/>
        </w:rPr>
        <w:t>gests a negative and significant</w:t>
      </w:r>
      <w:r w:rsidR="006E5D29">
        <w:rPr>
          <w:rFonts w:ascii="Times New Roman" w:hAnsi="Times New Roman" w:cs="Times New Roman"/>
          <w:sz w:val="24"/>
          <w:szCs w:val="24"/>
        </w:rPr>
        <w:t xml:space="preserve"> effect</w:t>
      </w:r>
      <w:r w:rsidR="001300E9">
        <w:rPr>
          <w:rFonts w:ascii="Times New Roman" w:hAnsi="Times New Roman" w:cs="Times New Roman"/>
          <w:sz w:val="24"/>
          <w:szCs w:val="24"/>
        </w:rPr>
        <w:t xml:space="preserve"> of tourism on environmental performance</w:t>
      </w:r>
      <w:r w:rsidR="006E5D29">
        <w:rPr>
          <w:rFonts w:ascii="Times New Roman" w:hAnsi="Times New Roman" w:cs="Times New Roman"/>
          <w:sz w:val="24"/>
          <w:szCs w:val="24"/>
        </w:rPr>
        <w:t xml:space="preserve"> </w:t>
      </w:r>
      <w:r w:rsidR="001300E9">
        <w:rPr>
          <w:rFonts w:ascii="Times New Roman" w:hAnsi="Times New Roman" w:cs="Times New Roman"/>
          <w:sz w:val="24"/>
          <w:szCs w:val="24"/>
        </w:rPr>
        <w:t xml:space="preserve">when environmental taxes are below the threshold. However, when environmental taxes are above the threshold value, the effect of tourism on environmental performance is positive and statistically </w:t>
      </w:r>
      <w:r w:rsidR="00896486">
        <w:rPr>
          <w:rFonts w:ascii="Times New Roman" w:hAnsi="Times New Roman" w:cs="Times New Roman"/>
          <w:sz w:val="24"/>
          <w:szCs w:val="24"/>
        </w:rPr>
        <w:t xml:space="preserve">significant. Furthermore, the effect of regime-independent variables displays that tourism and economic activities deteriorate environmental performance while R&amp;D and renewable energy stimulate environmental performance. To check the robustness of these results, the MMQR is applied. The results reveal that while tourism reduces environmental performance, environmental taxes increase environmental performance. However, the interaction term of </w:t>
      </w:r>
      <w:r w:rsidR="00E62C30">
        <w:rPr>
          <w:rFonts w:ascii="Times New Roman" w:hAnsi="Times New Roman" w:cs="Times New Roman"/>
          <w:sz w:val="24"/>
          <w:szCs w:val="24"/>
        </w:rPr>
        <w:t xml:space="preserve">tourism and environmental taxes improves the quality of the environment. Also, the results of all regime-independent variables survive and show that they are robust. </w:t>
      </w:r>
    </w:p>
    <w:p w14:paraId="24CDAFA0" w14:textId="77777777" w:rsidR="002870D0" w:rsidRPr="000A5F5B" w:rsidRDefault="00DF7D72" w:rsidP="002A3F22">
      <w:pPr>
        <w:spacing w:before="240" w:after="0" w:line="240" w:lineRule="auto"/>
        <w:jc w:val="both"/>
        <w:rPr>
          <w:rFonts w:ascii="Times New Roman" w:hAnsi="Times New Roman" w:cs="Times New Roman"/>
          <w:b/>
          <w:sz w:val="24"/>
          <w:szCs w:val="24"/>
        </w:rPr>
      </w:pPr>
      <w:r w:rsidRPr="000A5F5B">
        <w:rPr>
          <w:rFonts w:ascii="Times New Roman" w:hAnsi="Times New Roman" w:cs="Times New Roman"/>
          <w:b/>
          <w:sz w:val="24"/>
          <w:szCs w:val="24"/>
        </w:rPr>
        <w:t>5.1 Policy Implications</w:t>
      </w:r>
    </w:p>
    <w:p w14:paraId="01D764DF" w14:textId="77777777" w:rsidR="00830E72" w:rsidRDefault="00DF7D72" w:rsidP="00830E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these findings, the study suggests the following policy recommendations:</w:t>
      </w:r>
      <w:r w:rsidR="002870D0">
        <w:rPr>
          <w:rFonts w:ascii="Times New Roman" w:hAnsi="Times New Roman" w:cs="Times New Roman"/>
          <w:sz w:val="24"/>
          <w:szCs w:val="24"/>
        </w:rPr>
        <w:t xml:space="preserve"> </w:t>
      </w:r>
      <w:r w:rsidR="00D02FAD">
        <w:rPr>
          <w:rFonts w:ascii="Times New Roman" w:hAnsi="Times New Roman" w:cs="Times New Roman"/>
          <w:sz w:val="24"/>
          <w:szCs w:val="24"/>
        </w:rPr>
        <w:t>First, e</w:t>
      </w:r>
      <w:r w:rsidRPr="00E62C30">
        <w:rPr>
          <w:rFonts w:ascii="Times New Roman" w:hAnsi="Times New Roman" w:cs="Times New Roman"/>
          <w:sz w:val="24"/>
          <w:szCs w:val="24"/>
        </w:rPr>
        <w:t>nvironmental taxes are an instrument</w:t>
      </w:r>
      <w:r w:rsidR="004A2C7A">
        <w:rPr>
          <w:rFonts w:ascii="Times New Roman" w:hAnsi="Times New Roman" w:cs="Times New Roman"/>
          <w:sz w:val="24"/>
          <w:szCs w:val="24"/>
        </w:rPr>
        <w:t xml:space="preserve"> for averting the adverse effect of global warming and other significant climate changes from energy-related pollution. </w:t>
      </w:r>
      <w:r w:rsidR="004E3A82">
        <w:rPr>
          <w:rFonts w:ascii="Times New Roman" w:hAnsi="Times New Roman" w:cs="Times New Roman"/>
          <w:sz w:val="24"/>
          <w:szCs w:val="24"/>
        </w:rPr>
        <w:t xml:space="preserve">Therefore, </w:t>
      </w:r>
      <w:r>
        <w:rPr>
          <w:rFonts w:ascii="Times New Roman" w:hAnsi="Times New Roman" w:cs="Times New Roman"/>
          <w:sz w:val="24"/>
          <w:szCs w:val="24"/>
        </w:rPr>
        <w:t>government and policymakers should be encouraged to increase environmental taxes</w:t>
      </w:r>
      <w:r w:rsidR="004E3A82">
        <w:rPr>
          <w:rFonts w:ascii="Times New Roman" w:hAnsi="Times New Roman" w:cs="Times New Roman"/>
          <w:sz w:val="24"/>
          <w:szCs w:val="24"/>
        </w:rPr>
        <w:t xml:space="preserve"> above the t</w:t>
      </w:r>
      <w:r w:rsidR="00D02FAD">
        <w:rPr>
          <w:rFonts w:ascii="Times New Roman" w:hAnsi="Times New Roman" w:cs="Times New Roman"/>
          <w:sz w:val="24"/>
          <w:szCs w:val="24"/>
        </w:rPr>
        <w:t xml:space="preserve">hreshold level since </w:t>
      </w:r>
      <w:r w:rsidR="004E3A82">
        <w:rPr>
          <w:rFonts w:ascii="Times New Roman" w:hAnsi="Times New Roman" w:cs="Times New Roman"/>
          <w:sz w:val="24"/>
          <w:szCs w:val="24"/>
        </w:rPr>
        <w:t xml:space="preserve">environmental </w:t>
      </w:r>
      <w:r w:rsidR="00D02FAD">
        <w:rPr>
          <w:rFonts w:ascii="Times New Roman" w:hAnsi="Times New Roman" w:cs="Times New Roman"/>
          <w:sz w:val="24"/>
          <w:szCs w:val="24"/>
        </w:rPr>
        <w:t>taxes have the capacity to internalize</w:t>
      </w:r>
      <w:r w:rsidR="004E3A82">
        <w:rPr>
          <w:rFonts w:ascii="Times New Roman" w:hAnsi="Times New Roman" w:cs="Times New Roman"/>
          <w:sz w:val="24"/>
          <w:szCs w:val="24"/>
        </w:rPr>
        <w:t xml:space="preserve"> the negative externalities of </w:t>
      </w:r>
      <w:r w:rsidR="00D02FAD">
        <w:rPr>
          <w:rFonts w:ascii="Times New Roman" w:hAnsi="Times New Roman" w:cs="Times New Roman"/>
          <w:sz w:val="24"/>
          <w:szCs w:val="24"/>
        </w:rPr>
        <w:t>environmental polluters. Moreover, by imposing high environmental taxes, individuals and businesses would be induced to change behaviours toward making use of greener technologies and consuming eco-friendly energy.</w:t>
      </w:r>
      <w:r w:rsidR="002741EE">
        <w:rPr>
          <w:rFonts w:ascii="Times New Roman" w:hAnsi="Times New Roman" w:cs="Times New Roman"/>
          <w:sz w:val="24"/>
          <w:szCs w:val="24"/>
        </w:rPr>
        <w:t xml:space="preserve"> Second, to achieve improved environmental performance, energy transition policies toward greater use of clean energy sources are sacrosanct. In this case, investment in renewable ene</w:t>
      </w:r>
      <w:r w:rsidR="00C8741F">
        <w:rPr>
          <w:rFonts w:ascii="Times New Roman" w:hAnsi="Times New Roman" w:cs="Times New Roman"/>
          <w:sz w:val="24"/>
          <w:szCs w:val="24"/>
        </w:rPr>
        <w:t xml:space="preserve">rgy should be encouraged by applying some policy instruments such as carbon tax and quota system, which is also known as cap and trade. These instruments, although, are not new in most EU countries. However, as a policy, this study recommends the resuscitation </w:t>
      </w:r>
      <w:r w:rsidR="009125FA">
        <w:rPr>
          <w:rFonts w:ascii="Times New Roman" w:hAnsi="Times New Roman" w:cs="Times New Roman"/>
          <w:sz w:val="24"/>
          <w:szCs w:val="24"/>
        </w:rPr>
        <w:t>of the use of these instruments. Third, since economic activities deteriorate the environment, it is suggested to engage in green economic activities. To achieve this, there is a need to induce behavioural changes in households, firms, and industries whose activities generate the highest level of pollution through the imposition of taxes on carbon, fuel-inten</w:t>
      </w:r>
      <w:r w:rsidR="002870D0">
        <w:rPr>
          <w:rFonts w:ascii="Times New Roman" w:hAnsi="Times New Roman" w:cs="Times New Roman"/>
          <w:sz w:val="24"/>
          <w:szCs w:val="24"/>
        </w:rPr>
        <w:t xml:space="preserve">sive, and other activities that are not eco-friendly. </w:t>
      </w:r>
      <w:r w:rsidR="009125FA">
        <w:rPr>
          <w:rFonts w:ascii="Times New Roman" w:hAnsi="Times New Roman" w:cs="Times New Roman"/>
          <w:sz w:val="24"/>
          <w:szCs w:val="24"/>
        </w:rPr>
        <w:t xml:space="preserve"> </w:t>
      </w:r>
    </w:p>
    <w:p w14:paraId="3F456706" w14:textId="77777777" w:rsidR="00830E72" w:rsidRPr="00830E72" w:rsidRDefault="00830E72" w:rsidP="00830E72">
      <w:pPr>
        <w:autoSpaceDE w:val="0"/>
        <w:autoSpaceDN w:val="0"/>
        <w:adjustRightInd w:val="0"/>
        <w:spacing w:after="0" w:line="240" w:lineRule="auto"/>
        <w:jc w:val="both"/>
        <w:rPr>
          <w:rFonts w:ascii="Times New Roman" w:hAnsi="Times New Roman" w:cs="Times New Roman"/>
          <w:sz w:val="24"/>
          <w:szCs w:val="24"/>
        </w:rPr>
      </w:pPr>
    </w:p>
    <w:p w14:paraId="648E2ADF" w14:textId="77777777" w:rsidR="00DF7D72" w:rsidRDefault="00DF7D72" w:rsidP="00DF7D72">
      <w:pPr>
        <w:autoSpaceDE w:val="0"/>
        <w:autoSpaceDN w:val="0"/>
        <w:adjustRightInd w:val="0"/>
        <w:spacing w:after="0" w:line="360" w:lineRule="auto"/>
        <w:jc w:val="both"/>
        <w:rPr>
          <w:rFonts w:ascii="Times New Roman" w:hAnsi="Times New Roman" w:cs="Times New Roman"/>
          <w:b/>
          <w:sz w:val="24"/>
          <w:szCs w:val="24"/>
        </w:rPr>
      </w:pPr>
    </w:p>
    <w:p w14:paraId="3D0F87C0" w14:textId="77777777" w:rsidR="00DF7D72" w:rsidRPr="0057327C" w:rsidRDefault="00DF7D72" w:rsidP="00DF7D72">
      <w:pPr>
        <w:autoSpaceDE w:val="0"/>
        <w:autoSpaceDN w:val="0"/>
        <w:adjustRightInd w:val="0"/>
        <w:spacing w:after="0" w:line="360" w:lineRule="auto"/>
        <w:jc w:val="both"/>
        <w:rPr>
          <w:rFonts w:ascii="Times New Roman" w:hAnsi="Times New Roman" w:cs="Times New Roman"/>
          <w:b/>
          <w:sz w:val="24"/>
          <w:szCs w:val="24"/>
        </w:rPr>
      </w:pPr>
      <w:r w:rsidRPr="003D2FE4">
        <w:rPr>
          <w:rFonts w:ascii="Times New Roman" w:hAnsi="Times New Roman" w:cs="Times New Roman"/>
          <w:b/>
          <w:sz w:val="24"/>
          <w:szCs w:val="24"/>
        </w:rPr>
        <w:t>References</w:t>
      </w:r>
    </w:p>
    <w:p w14:paraId="478756BA" w14:textId="7F5E7DD9" w:rsidR="000E0BCF" w:rsidRDefault="00DF7D72" w:rsidP="00CC0A59">
      <w:pPr>
        <w:spacing w:after="0" w:line="276" w:lineRule="auto"/>
        <w:ind w:left="720" w:hanging="720"/>
        <w:jc w:val="both"/>
        <w:rPr>
          <w:rFonts w:ascii="Times New Roman" w:eastAsia="Times New Roman" w:hAnsi="Times New Roman" w:cs="Times New Roman"/>
          <w:sz w:val="24"/>
          <w:szCs w:val="24"/>
          <w:lang w:eastAsia="en-GB"/>
        </w:rPr>
      </w:pPr>
      <w:r w:rsidRPr="001174A2">
        <w:rPr>
          <w:rFonts w:ascii="Times New Roman" w:eastAsia="Times New Roman" w:hAnsi="Times New Roman" w:cs="Times New Roman"/>
          <w:sz w:val="24"/>
          <w:szCs w:val="24"/>
          <w:lang w:eastAsia="en-GB"/>
        </w:rPr>
        <w:t>Alola, A. A., &amp; Nwulu, N. (2022). Do energy-pollution-resource-transport taxes yield double dividend for Nordic economies? Energy, 124275.</w:t>
      </w:r>
    </w:p>
    <w:p w14:paraId="410D351A" w14:textId="670ED994" w:rsidR="00B72E13" w:rsidRDefault="00DF7D72" w:rsidP="00CC0A59">
      <w:pPr>
        <w:spacing w:after="0" w:line="276" w:lineRule="auto"/>
        <w:ind w:left="720" w:hanging="720"/>
        <w:jc w:val="both"/>
        <w:rPr>
          <w:rFonts w:ascii="Times New Roman" w:eastAsia="Times New Roman" w:hAnsi="Times New Roman" w:cs="Times New Roman"/>
          <w:sz w:val="24"/>
          <w:szCs w:val="24"/>
          <w:lang w:eastAsia="en-GB"/>
        </w:rPr>
      </w:pPr>
      <w:r w:rsidRPr="0026219E">
        <w:rPr>
          <w:rFonts w:ascii="Times New Roman" w:eastAsia="Times New Roman" w:hAnsi="Times New Roman" w:cs="Times New Roman"/>
          <w:sz w:val="24"/>
          <w:szCs w:val="24"/>
          <w:lang w:eastAsia="en-GB"/>
        </w:rPr>
        <w:t>Alola, A. A., Eluwole, K. K., Lasisi, T. T., &amp; Alola, U. V. (2021). Perspectives of globalization and tourism as drivers of ecological footprint in top 10 destination economies. Environmental Science and Pollution Research, 28(24), 31607-31617.</w:t>
      </w:r>
    </w:p>
    <w:p w14:paraId="4C235563" w14:textId="3FBDE466" w:rsidR="000E0BCF" w:rsidRPr="000E0BCF" w:rsidRDefault="00DF7D72" w:rsidP="00CC0A59">
      <w:pPr>
        <w:spacing w:after="0" w:line="276" w:lineRule="auto"/>
        <w:ind w:left="720" w:hanging="720"/>
        <w:jc w:val="both"/>
        <w:rPr>
          <w:rFonts w:ascii="Times New Roman" w:eastAsia="Times New Roman" w:hAnsi="Times New Roman" w:cs="Times New Roman"/>
          <w:sz w:val="24"/>
          <w:szCs w:val="24"/>
          <w:lang w:eastAsia="en-GB"/>
        </w:rPr>
      </w:pPr>
      <w:r w:rsidRPr="00B72E13">
        <w:rPr>
          <w:rFonts w:ascii="Times New Roman" w:hAnsi="Times New Roman"/>
          <w:bCs/>
          <w:sz w:val="24"/>
          <w:szCs w:val="24"/>
        </w:rPr>
        <w:lastRenderedPageBreak/>
        <w:t xml:space="preserve">Alola, A.A., Akadiri, S.S., and Usman, O. (2021). </w:t>
      </w:r>
      <w:r w:rsidRPr="00B72E13">
        <w:rPr>
          <w:rFonts w:ascii="Times New Roman" w:hAnsi="Times New Roman"/>
          <w:sz w:val="24"/>
          <w:szCs w:val="24"/>
        </w:rPr>
        <w:t xml:space="preserve">Domestic Material Consumption and Greenhouse Gas Emissions in EU-28 Countries: Implications for Environmental Sustainability Targets, </w:t>
      </w:r>
      <w:r w:rsidRPr="00B72E13">
        <w:rPr>
          <w:rFonts w:ascii="Times New Roman" w:hAnsi="Times New Roman"/>
          <w:i/>
          <w:sz w:val="24"/>
          <w:szCs w:val="24"/>
        </w:rPr>
        <w:t>Sustainable Development,</w:t>
      </w:r>
      <w:r w:rsidRPr="00B72E13">
        <w:rPr>
          <w:rFonts w:ascii="Times New Roman" w:hAnsi="Times New Roman"/>
          <w:sz w:val="24"/>
          <w:szCs w:val="24"/>
        </w:rPr>
        <w:t xml:space="preserve"> </w:t>
      </w:r>
      <w:hyperlink r:id="rId53" w:tooltip="View Volume 29, Issue 2" w:history="1">
        <w:r>
          <w:rPr>
            <w:rStyle w:val="val"/>
            <w:rFonts w:ascii="Times New Roman" w:hAnsi="Times New Roman"/>
            <w:bCs/>
            <w:sz w:val="24"/>
            <w:szCs w:val="24"/>
          </w:rPr>
          <w:t>29 (</w:t>
        </w:r>
        <w:r w:rsidRPr="00B72E13">
          <w:rPr>
            <w:rStyle w:val="val"/>
            <w:rFonts w:ascii="Times New Roman" w:hAnsi="Times New Roman"/>
            <w:bCs/>
            <w:sz w:val="24"/>
            <w:szCs w:val="24"/>
          </w:rPr>
          <w:t>2</w:t>
        </w:r>
      </w:hyperlink>
      <w:r w:rsidRPr="00B72E13">
        <w:rPr>
          <w:rFonts w:ascii="Times New Roman" w:hAnsi="Times New Roman"/>
          <w:bCs/>
          <w:sz w:val="24"/>
          <w:szCs w:val="24"/>
        </w:rPr>
        <w:t>)</w:t>
      </w:r>
      <w:r w:rsidRPr="00B72E13">
        <w:rPr>
          <w:bCs/>
        </w:rPr>
        <w:t xml:space="preserve">, </w:t>
      </w:r>
      <w:r w:rsidRPr="00B72E13">
        <w:rPr>
          <w:rFonts w:ascii="Times New Roman" w:hAnsi="Times New Roman"/>
          <w:sz w:val="24"/>
          <w:szCs w:val="24"/>
        </w:rPr>
        <w:t xml:space="preserve">388-397, </w:t>
      </w:r>
    </w:p>
    <w:p w14:paraId="5ABB4919" w14:textId="1DE3E253" w:rsidR="000E0BCF" w:rsidRDefault="00DF7D72" w:rsidP="00CC0A59">
      <w:pPr>
        <w:spacing w:after="0" w:line="276" w:lineRule="auto"/>
        <w:ind w:left="720" w:hanging="720"/>
        <w:jc w:val="both"/>
        <w:rPr>
          <w:rFonts w:ascii="Times New Roman" w:eastAsia="Times New Roman" w:hAnsi="Times New Roman" w:cs="Times New Roman"/>
          <w:sz w:val="24"/>
          <w:szCs w:val="24"/>
          <w:lang w:eastAsia="en-GB"/>
        </w:rPr>
      </w:pPr>
      <w:r w:rsidRPr="000E0BCF">
        <w:rPr>
          <w:rFonts w:ascii="Times New Roman" w:hAnsi="Times New Roman" w:cs="Times New Roman"/>
          <w:color w:val="222222"/>
          <w:sz w:val="24"/>
          <w:szCs w:val="24"/>
          <w:shd w:val="clear" w:color="auto" w:fill="FFFFFF"/>
        </w:rPr>
        <w:t>Aydin, C., &amp; Esen, Ö. (2018). Reducing CO2 emissions in the EU member states: Do environmental taxes work?</w:t>
      </w:r>
      <w:r w:rsidR="00CC0A59">
        <w:rPr>
          <w:rFonts w:ascii="Times New Roman" w:hAnsi="Times New Roman" w:cs="Times New Roman"/>
          <w:color w:val="222222"/>
          <w:sz w:val="24"/>
          <w:szCs w:val="24"/>
          <w:shd w:val="clear" w:color="auto" w:fill="FFFFFF"/>
        </w:rPr>
        <w:t xml:space="preserve"> </w:t>
      </w:r>
      <w:r w:rsidRPr="000E0BCF">
        <w:rPr>
          <w:rFonts w:ascii="Times New Roman" w:hAnsi="Times New Roman" w:cs="Times New Roman"/>
          <w:i/>
          <w:iCs/>
          <w:color w:val="222222"/>
          <w:sz w:val="24"/>
          <w:szCs w:val="24"/>
          <w:shd w:val="clear" w:color="auto" w:fill="FFFFFF"/>
        </w:rPr>
        <w:t>Journal of Environmental Planning and Management</w:t>
      </w:r>
      <w:r w:rsidRPr="000E0BCF">
        <w:rPr>
          <w:rFonts w:ascii="Times New Roman" w:hAnsi="Times New Roman" w:cs="Times New Roman"/>
          <w:color w:val="222222"/>
          <w:sz w:val="24"/>
          <w:szCs w:val="24"/>
          <w:shd w:val="clear" w:color="auto" w:fill="FFFFFF"/>
        </w:rPr>
        <w:t>, </w:t>
      </w:r>
      <w:r w:rsidRPr="000E0BCF">
        <w:rPr>
          <w:rFonts w:ascii="Times New Roman" w:hAnsi="Times New Roman" w:cs="Times New Roman"/>
          <w:i/>
          <w:iCs/>
          <w:color w:val="222222"/>
          <w:sz w:val="24"/>
          <w:szCs w:val="24"/>
          <w:shd w:val="clear" w:color="auto" w:fill="FFFFFF"/>
        </w:rPr>
        <w:t>61</w:t>
      </w:r>
      <w:r w:rsidRPr="000E0BCF">
        <w:rPr>
          <w:rFonts w:ascii="Times New Roman" w:hAnsi="Times New Roman" w:cs="Times New Roman"/>
          <w:color w:val="222222"/>
          <w:sz w:val="24"/>
          <w:szCs w:val="24"/>
          <w:shd w:val="clear" w:color="auto" w:fill="FFFFFF"/>
        </w:rPr>
        <w:t>(13), 2396-2420.</w:t>
      </w:r>
    </w:p>
    <w:p w14:paraId="528A5892" w14:textId="77777777" w:rsidR="00CC0A59" w:rsidRDefault="00DF7D72" w:rsidP="00CC0A59">
      <w:pPr>
        <w:spacing w:after="0" w:line="240" w:lineRule="auto"/>
        <w:ind w:left="562" w:hanging="562"/>
        <w:jc w:val="both"/>
        <w:rPr>
          <w:rFonts w:ascii="Times New Roman" w:hAnsi="Times New Roman" w:cs="Times New Roman"/>
          <w:color w:val="222222"/>
          <w:sz w:val="24"/>
          <w:szCs w:val="24"/>
          <w:shd w:val="clear" w:color="auto" w:fill="FFFFFF"/>
        </w:rPr>
      </w:pPr>
      <w:r w:rsidRPr="003A66F8">
        <w:rPr>
          <w:rFonts w:ascii="Times New Roman" w:hAnsi="Times New Roman" w:cs="Times New Roman"/>
          <w:color w:val="222222"/>
          <w:sz w:val="24"/>
          <w:szCs w:val="24"/>
          <w:shd w:val="clear" w:color="auto" w:fill="FFFFFF"/>
        </w:rPr>
        <w:t>Aziz, N., Mihardjo, L. W., Sharif, A., &amp; Jermsittiparsert, K. (2020). The role of tourism and renewable energy in testing the environmental Kuznets curve in the BRICS countries: fresh evidence from methods of moments quantile regression. </w:t>
      </w:r>
      <w:r w:rsidRPr="003A66F8">
        <w:rPr>
          <w:rFonts w:ascii="Times New Roman" w:hAnsi="Times New Roman" w:cs="Times New Roman"/>
          <w:i/>
          <w:iCs/>
          <w:color w:val="222222"/>
          <w:sz w:val="24"/>
          <w:szCs w:val="24"/>
          <w:shd w:val="clear" w:color="auto" w:fill="FFFFFF"/>
        </w:rPr>
        <w:t>Environmental Science and Pollution Research</w:t>
      </w:r>
      <w:r w:rsidRPr="003A66F8">
        <w:rPr>
          <w:rFonts w:ascii="Times New Roman" w:hAnsi="Times New Roman" w:cs="Times New Roman"/>
          <w:color w:val="222222"/>
          <w:sz w:val="24"/>
          <w:szCs w:val="24"/>
          <w:shd w:val="clear" w:color="auto" w:fill="FFFFFF"/>
        </w:rPr>
        <w:t>, </w:t>
      </w:r>
      <w:r w:rsidRPr="003A66F8">
        <w:rPr>
          <w:rFonts w:ascii="Times New Roman" w:hAnsi="Times New Roman" w:cs="Times New Roman"/>
          <w:i/>
          <w:iCs/>
          <w:color w:val="222222"/>
          <w:sz w:val="24"/>
          <w:szCs w:val="24"/>
          <w:shd w:val="clear" w:color="auto" w:fill="FFFFFF"/>
        </w:rPr>
        <w:t>27</w:t>
      </w:r>
      <w:r w:rsidRPr="003A66F8">
        <w:rPr>
          <w:rFonts w:ascii="Times New Roman" w:hAnsi="Times New Roman" w:cs="Times New Roman"/>
          <w:color w:val="222222"/>
          <w:sz w:val="24"/>
          <w:szCs w:val="24"/>
          <w:shd w:val="clear" w:color="auto" w:fill="FFFFFF"/>
        </w:rPr>
        <w:t>(31), 39427-39441.</w:t>
      </w:r>
    </w:p>
    <w:p w14:paraId="62DACB53" w14:textId="0C73D3A0" w:rsidR="000E0BCF" w:rsidRPr="000E0BCF" w:rsidRDefault="00DF7D72" w:rsidP="00CC0A59">
      <w:pPr>
        <w:spacing w:after="0" w:line="240" w:lineRule="auto"/>
        <w:ind w:left="562" w:hanging="562"/>
        <w:jc w:val="both"/>
        <w:rPr>
          <w:rFonts w:ascii="Times New Roman" w:hAnsi="Times New Roman" w:cs="Times New Roman"/>
          <w:color w:val="222222"/>
          <w:sz w:val="24"/>
          <w:szCs w:val="24"/>
          <w:shd w:val="clear" w:color="auto" w:fill="FFFFFF"/>
        </w:rPr>
      </w:pPr>
      <w:r w:rsidRPr="000E0BCF">
        <w:rPr>
          <w:rFonts w:ascii="Times New Roman" w:hAnsi="Times New Roman" w:cs="Times New Roman"/>
          <w:sz w:val="24"/>
          <w:szCs w:val="24"/>
        </w:rPr>
        <w:t>Borozan, D. (2019). Unveiling the heterogeneous effect of energy taxes a</w:t>
      </w:r>
      <w:r>
        <w:rPr>
          <w:rFonts w:ascii="Times New Roman" w:hAnsi="Times New Roman" w:cs="Times New Roman"/>
          <w:sz w:val="24"/>
          <w:szCs w:val="24"/>
        </w:rPr>
        <w:t xml:space="preserve">nd income on residential energy </w:t>
      </w:r>
      <w:r w:rsidRPr="000E0BCF">
        <w:rPr>
          <w:rFonts w:ascii="Times New Roman" w:hAnsi="Times New Roman" w:cs="Times New Roman"/>
          <w:sz w:val="24"/>
          <w:szCs w:val="24"/>
        </w:rPr>
        <w:t xml:space="preserve">consumption. </w:t>
      </w:r>
      <w:r w:rsidRPr="000E0BCF">
        <w:rPr>
          <w:rFonts w:ascii="Times New Roman" w:hAnsi="Times New Roman" w:cs="Times New Roman"/>
          <w:i/>
          <w:iCs/>
          <w:sz w:val="24"/>
          <w:szCs w:val="24"/>
        </w:rPr>
        <w:t>Energy Policy, 129</w:t>
      </w:r>
      <w:r w:rsidRPr="000E0BCF">
        <w:rPr>
          <w:rFonts w:ascii="Times New Roman" w:hAnsi="Times New Roman" w:cs="Times New Roman"/>
          <w:sz w:val="24"/>
          <w:szCs w:val="24"/>
        </w:rPr>
        <w:t>, 13–22.</w:t>
      </w:r>
    </w:p>
    <w:p w14:paraId="535E9637" w14:textId="32DC59C3"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646396">
        <w:rPr>
          <w:rFonts w:ascii="Times New Roman" w:eastAsia="Times New Roman" w:hAnsi="Times New Roman" w:cs="Times New Roman"/>
          <w:sz w:val="24"/>
          <w:szCs w:val="24"/>
          <w:lang w:eastAsia="en-GB"/>
        </w:rPr>
        <w:t xml:space="preserve">Cao, F., Zhang, Y., &amp; Zhang, J. (2021). Carbon tax, economic </w:t>
      </w:r>
      <w:proofErr w:type="gramStart"/>
      <w:r w:rsidRPr="00646396">
        <w:rPr>
          <w:rFonts w:ascii="Times New Roman" w:eastAsia="Times New Roman" w:hAnsi="Times New Roman" w:cs="Times New Roman"/>
          <w:sz w:val="24"/>
          <w:szCs w:val="24"/>
          <w:lang w:eastAsia="en-GB"/>
        </w:rPr>
        <w:t>uncertainty</w:t>
      </w:r>
      <w:proofErr w:type="gramEnd"/>
      <w:r w:rsidRPr="00646396">
        <w:rPr>
          <w:rFonts w:ascii="Times New Roman" w:eastAsia="Times New Roman" w:hAnsi="Times New Roman" w:cs="Times New Roman"/>
          <w:sz w:val="24"/>
          <w:szCs w:val="24"/>
          <w:lang w:eastAsia="en-GB"/>
        </w:rPr>
        <w:t xml:space="preserve"> and tourism: A DSGE approach. Journal of Hospitality and Tourism Management, 49, 494-507.</w:t>
      </w:r>
    </w:p>
    <w:p w14:paraId="4763E969" w14:textId="7C9F8368" w:rsidR="000E0BCF" w:rsidRPr="00CC0A59" w:rsidRDefault="00DF7D72" w:rsidP="00CC0A59">
      <w:pPr>
        <w:spacing w:after="0" w:line="240" w:lineRule="auto"/>
        <w:ind w:left="720" w:hanging="720"/>
        <w:jc w:val="both"/>
        <w:rPr>
          <w:rFonts w:ascii="Times New Roman" w:hAnsi="Times New Roman" w:cs="Times New Roman"/>
          <w:sz w:val="24"/>
          <w:szCs w:val="24"/>
        </w:rPr>
      </w:pPr>
      <w:r w:rsidRPr="000E0BCF">
        <w:rPr>
          <w:rFonts w:ascii="Times New Roman" w:hAnsi="Times New Roman" w:cs="Times New Roman"/>
          <w:sz w:val="24"/>
          <w:szCs w:val="24"/>
        </w:rPr>
        <w:t>Costa-Campi, M., Rio, P., &amp; Trujillo-Baute, E. (</w:t>
      </w:r>
      <w:r>
        <w:rPr>
          <w:rFonts w:ascii="Times New Roman" w:hAnsi="Times New Roman" w:cs="Times New Roman"/>
          <w:sz w:val="24"/>
          <w:szCs w:val="24"/>
        </w:rPr>
        <w:t xml:space="preserve">2017). Trade-offs in energy and environmental policy. </w:t>
      </w:r>
      <w:r w:rsidRPr="000E0BCF">
        <w:rPr>
          <w:rFonts w:ascii="Times New Roman" w:hAnsi="Times New Roman" w:cs="Times New Roman"/>
          <w:i/>
          <w:iCs/>
          <w:sz w:val="24"/>
          <w:szCs w:val="24"/>
        </w:rPr>
        <w:t>Energy Policy, 104</w:t>
      </w:r>
      <w:r w:rsidRPr="000E0BCF">
        <w:rPr>
          <w:rFonts w:ascii="Times New Roman" w:hAnsi="Times New Roman" w:cs="Times New Roman"/>
          <w:sz w:val="24"/>
          <w:szCs w:val="24"/>
        </w:rPr>
        <w:t>, 415–418.</w:t>
      </w:r>
    </w:p>
    <w:p w14:paraId="5874BAE0" w14:textId="5CF9F7AD"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1174A2">
        <w:rPr>
          <w:rFonts w:ascii="Times New Roman" w:eastAsia="Times New Roman" w:hAnsi="Times New Roman" w:cs="Times New Roman"/>
          <w:sz w:val="24"/>
          <w:szCs w:val="24"/>
          <w:lang w:eastAsia="en-GB"/>
        </w:rPr>
        <w:t>Dissou, Y., &amp; Karnizova, L. (2016). Emissions cap or emissions tax? A multi-sector business cycle analysis. Journal of Environmental Economics and Management, 79, 169-188.</w:t>
      </w:r>
    </w:p>
    <w:p w14:paraId="479DA3B4" w14:textId="75FE056A"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4262EF">
        <w:rPr>
          <w:rFonts w:ascii="Times New Roman" w:eastAsia="Times New Roman" w:hAnsi="Times New Roman" w:cs="Times New Roman"/>
          <w:sz w:val="24"/>
          <w:szCs w:val="24"/>
          <w:lang w:val="nb-NO" w:eastAsia="en-GB"/>
        </w:rPr>
        <w:t xml:space="preserve">Dong, H., Dai, H., </w:t>
      </w:r>
      <w:proofErr w:type="spellStart"/>
      <w:r w:rsidRPr="004262EF">
        <w:rPr>
          <w:rFonts w:ascii="Times New Roman" w:eastAsia="Times New Roman" w:hAnsi="Times New Roman" w:cs="Times New Roman"/>
          <w:sz w:val="24"/>
          <w:szCs w:val="24"/>
          <w:lang w:val="nb-NO" w:eastAsia="en-GB"/>
        </w:rPr>
        <w:t>Geng</w:t>
      </w:r>
      <w:proofErr w:type="spellEnd"/>
      <w:r w:rsidRPr="004262EF">
        <w:rPr>
          <w:rFonts w:ascii="Times New Roman" w:eastAsia="Times New Roman" w:hAnsi="Times New Roman" w:cs="Times New Roman"/>
          <w:sz w:val="24"/>
          <w:szCs w:val="24"/>
          <w:lang w:val="nb-NO" w:eastAsia="en-GB"/>
        </w:rPr>
        <w:t xml:space="preserve">, Y., </w:t>
      </w:r>
      <w:proofErr w:type="spellStart"/>
      <w:r w:rsidRPr="004262EF">
        <w:rPr>
          <w:rFonts w:ascii="Times New Roman" w:eastAsia="Times New Roman" w:hAnsi="Times New Roman" w:cs="Times New Roman"/>
          <w:sz w:val="24"/>
          <w:szCs w:val="24"/>
          <w:lang w:val="nb-NO" w:eastAsia="en-GB"/>
        </w:rPr>
        <w:t>Fujita</w:t>
      </w:r>
      <w:proofErr w:type="spellEnd"/>
      <w:r w:rsidRPr="004262EF">
        <w:rPr>
          <w:rFonts w:ascii="Times New Roman" w:eastAsia="Times New Roman" w:hAnsi="Times New Roman" w:cs="Times New Roman"/>
          <w:sz w:val="24"/>
          <w:szCs w:val="24"/>
          <w:lang w:val="nb-NO" w:eastAsia="en-GB"/>
        </w:rPr>
        <w:t xml:space="preserve">, T., Liu, Z., </w:t>
      </w:r>
      <w:proofErr w:type="spellStart"/>
      <w:r w:rsidRPr="004262EF">
        <w:rPr>
          <w:rFonts w:ascii="Times New Roman" w:eastAsia="Times New Roman" w:hAnsi="Times New Roman" w:cs="Times New Roman"/>
          <w:sz w:val="24"/>
          <w:szCs w:val="24"/>
          <w:lang w:val="nb-NO" w:eastAsia="en-GB"/>
        </w:rPr>
        <w:t>Xie</w:t>
      </w:r>
      <w:proofErr w:type="spellEnd"/>
      <w:r w:rsidRPr="004262EF">
        <w:rPr>
          <w:rFonts w:ascii="Times New Roman" w:eastAsia="Times New Roman" w:hAnsi="Times New Roman" w:cs="Times New Roman"/>
          <w:sz w:val="24"/>
          <w:szCs w:val="24"/>
          <w:lang w:val="nb-NO" w:eastAsia="en-GB"/>
        </w:rPr>
        <w:t xml:space="preserve">, Y., ... &amp; Tang, L. (2017). </w:t>
      </w:r>
      <w:r w:rsidRPr="001174A2">
        <w:rPr>
          <w:rFonts w:ascii="Times New Roman" w:eastAsia="Times New Roman" w:hAnsi="Times New Roman" w:cs="Times New Roman"/>
          <w:sz w:val="24"/>
          <w:szCs w:val="24"/>
          <w:lang w:eastAsia="en-GB"/>
        </w:rPr>
        <w:t>Exploring impact of carbon tax on China’s CO2 reductions and provincial disparities. Renewable and Sustainable Energy Reviews, 77, 596-603.</w:t>
      </w:r>
    </w:p>
    <w:p w14:paraId="1899E686" w14:textId="2D229A3C"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F21B47">
        <w:rPr>
          <w:rFonts w:ascii="Times New Roman" w:eastAsia="Times New Roman" w:hAnsi="Times New Roman" w:cs="Times New Roman"/>
          <w:sz w:val="24"/>
          <w:szCs w:val="24"/>
          <w:lang w:eastAsia="en-GB"/>
        </w:rPr>
        <w:t>Dwyer, L., Forsyth, P., &amp; Spurr, R. (2012). Wither Australian Tourism? Implications of the Carbon Tax1. Journal of Hospitality and Tourism Management, 19.</w:t>
      </w:r>
    </w:p>
    <w:p w14:paraId="61B01BC4" w14:textId="2383CAD6"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F21B47">
        <w:rPr>
          <w:rFonts w:ascii="Times New Roman" w:eastAsia="Times New Roman" w:hAnsi="Times New Roman" w:cs="Times New Roman"/>
          <w:sz w:val="24"/>
          <w:szCs w:val="24"/>
          <w:lang w:eastAsia="en-GB"/>
        </w:rPr>
        <w:t>Dwyer, L., Forsyth, P., Spurr, R., &amp; Hoque, S. (2013). Economic impacts of a carbon tax on the Australian tourism industry. Journal of Travel Research, 52(2), 143-155.</w:t>
      </w:r>
    </w:p>
    <w:p w14:paraId="1A995977" w14:textId="120941D2"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6012D8">
        <w:rPr>
          <w:rFonts w:ascii="Times New Roman" w:eastAsia="Times New Roman" w:hAnsi="Times New Roman" w:cs="Times New Roman"/>
          <w:sz w:val="24"/>
          <w:szCs w:val="24"/>
          <w:lang w:eastAsia="en-GB"/>
        </w:rPr>
        <w:t>Elliott, J., &amp; Fullerton, D. (2014). Can a unilateral carbon tax reduce emissions elsewhere?</w:t>
      </w:r>
      <w:r>
        <w:rPr>
          <w:rFonts w:ascii="Times New Roman" w:eastAsia="Times New Roman" w:hAnsi="Times New Roman" w:cs="Times New Roman"/>
          <w:sz w:val="24"/>
          <w:szCs w:val="24"/>
          <w:lang w:eastAsia="en-GB"/>
        </w:rPr>
        <w:t xml:space="preserve"> </w:t>
      </w:r>
      <w:r w:rsidRPr="006012D8">
        <w:rPr>
          <w:rFonts w:ascii="Times New Roman" w:eastAsia="Times New Roman" w:hAnsi="Times New Roman" w:cs="Times New Roman"/>
          <w:sz w:val="24"/>
          <w:szCs w:val="24"/>
          <w:lang w:eastAsia="en-GB"/>
        </w:rPr>
        <w:t>Resource and Energy Economics, 36(1), 6-21.</w:t>
      </w:r>
    </w:p>
    <w:p w14:paraId="7C94058B" w14:textId="082ED31C"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26219E">
        <w:rPr>
          <w:rFonts w:ascii="Times New Roman" w:eastAsia="Times New Roman" w:hAnsi="Times New Roman" w:cs="Times New Roman"/>
          <w:sz w:val="24"/>
          <w:szCs w:val="24"/>
          <w:lang w:eastAsia="en-GB"/>
        </w:rPr>
        <w:t>Eluwole, K. K., Saint Akadiri, S., Alola, A. A., &amp; Etokakpan, M. U. (2020). Does the interaction between growth determinants a drive for global environmental sustainability? Evidence from world top 10 pollutant emissions countries. Science of The Total Environment, 705, 135972.</w:t>
      </w:r>
    </w:p>
    <w:p w14:paraId="502006C6" w14:textId="07658708"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481E00">
        <w:rPr>
          <w:rFonts w:ascii="Times New Roman" w:eastAsia="Times New Roman" w:hAnsi="Times New Roman" w:cs="Times New Roman"/>
          <w:sz w:val="24"/>
          <w:szCs w:val="24"/>
          <w:lang w:eastAsia="en-GB"/>
        </w:rPr>
        <w:t>Erdogan, N., &amp; Tosun, C. (2009). Environmental performance of tourism accommodations in the protected areas: Case of Goreme Historical National Park. International journal of hospitality management, 28(3), 406-414.</w:t>
      </w:r>
    </w:p>
    <w:p w14:paraId="4F411182" w14:textId="255D318F"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612AAC">
        <w:rPr>
          <w:rFonts w:ascii="Times New Roman" w:eastAsia="Times New Roman" w:hAnsi="Times New Roman" w:cs="Times New Roman"/>
          <w:sz w:val="24"/>
          <w:szCs w:val="24"/>
          <w:lang w:eastAsia="en-GB"/>
        </w:rPr>
        <w:t>European Commission</w:t>
      </w:r>
      <w:r>
        <w:rPr>
          <w:rFonts w:ascii="Times New Roman" w:eastAsia="Times New Roman" w:hAnsi="Times New Roman" w:cs="Times New Roman"/>
          <w:sz w:val="24"/>
          <w:szCs w:val="24"/>
          <w:lang w:eastAsia="en-GB"/>
        </w:rPr>
        <w:t xml:space="preserve"> (</w:t>
      </w:r>
      <w:r w:rsidRPr="00612AAC">
        <w:rPr>
          <w:rFonts w:ascii="Times New Roman" w:eastAsia="Times New Roman" w:hAnsi="Times New Roman" w:cs="Times New Roman"/>
          <w:sz w:val="24"/>
          <w:szCs w:val="24"/>
          <w:lang w:eastAsia="en-GB"/>
        </w:rPr>
        <w:t>2021</w:t>
      </w:r>
      <w:r>
        <w:rPr>
          <w:rFonts w:ascii="Times New Roman" w:eastAsia="Times New Roman" w:hAnsi="Times New Roman" w:cs="Times New Roman"/>
          <w:sz w:val="24"/>
          <w:szCs w:val="24"/>
          <w:lang w:eastAsia="en-GB"/>
        </w:rPr>
        <w:t xml:space="preserve">). </w:t>
      </w:r>
      <w:r w:rsidRPr="00612AAC">
        <w:rPr>
          <w:rFonts w:ascii="Times New Roman" w:eastAsia="Times New Roman" w:hAnsi="Times New Roman" w:cs="Times New Roman"/>
          <w:sz w:val="24"/>
          <w:szCs w:val="24"/>
          <w:lang w:eastAsia="en-GB"/>
        </w:rPr>
        <w:t>Environmental tax statistics</w:t>
      </w:r>
      <w:r>
        <w:rPr>
          <w:rFonts w:ascii="Times New Roman" w:eastAsia="Times New Roman" w:hAnsi="Times New Roman" w:cs="Times New Roman"/>
          <w:sz w:val="24"/>
          <w:szCs w:val="24"/>
          <w:lang w:eastAsia="en-GB"/>
        </w:rPr>
        <w:t xml:space="preserve">. </w:t>
      </w:r>
      <w:hyperlink r:id="rId54" w:anchor=":~:text=rate%20on%20energy-,Environmental%20taxes%20in%20the%20EU,)%20(see%20Table%201)" w:history="1">
        <w:r w:rsidRPr="00E52F29">
          <w:rPr>
            <w:rStyle w:val="Hyperkobling"/>
            <w:rFonts w:ascii="Times New Roman" w:eastAsia="Times New Roman" w:hAnsi="Times New Roman" w:cs="Times New Roman"/>
            <w:sz w:val="24"/>
            <w:szCs w:val="24"/>
            <w:lang w:eastAsia="en-GB"/>
          </w:rPr>
          <w:t>https://ec.europa.eu/eurostat/statistics-explained/index.php?title=Environmental_tax_statistics#:~:text=rate%20on%20energy-,Environmental%20taxes%20in%20the%20EU,)%20(see%20Table%201)</w:t>
        </w:r>
      </w:hyperlink>
      <w:r w:rsidRPr="00612AA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612AAC">
        <w:rPr>
          <w:rFonts w:ascii="Times New Roman" w:eastAsia="Times New Roman" w:hAnsi="Times New Roman" w:cs="Times New Roman"/>
          <w:sz w:val="24"/>
          <w:szCs w:val="24"/>
          <w:lang w:eastAsia="en-GB"/>
        </w:rPr>
        <w:t>(Accessed 07 August 2022).</w:t>
      </w:r>
    </w:p>
    <w:p w14:paraId="3509D81B" w14:textId="03430B5A"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9B32C0">
        <w:rPr>
          <w:rFonts w:ascii="Times New Roman" w:eastAsia="Times New Roman" w:hAnsi="Times New Roman" w:cs="Times New Roman"/>
          <w:sz w:val="24"/>
          <w:szCs w:val="24"/>
          <w:lang w:eastAsia="en-GB"/>
        </w:rPr>
        <w:t>European Environment Agency</w:t>
      </w:r>
      <w:r>
        <w:rPr>
          <w:rFonts w:ascii="Times New Roman" w:eastAsia="Times New Roman" w:hAnsi="Times New Roman" w:cs="Times New Roman"/>
          <w:sz w:val="24"/>
          <w:szCs w:val="24"/>
          <w:lang w:eastAsia="en-GB"/>
        </w:rPr>
        <w:t xml:space="preserve"> (</w:t>
      </w:r>
      <w:r w:rsidRPr="009B32C0">
        <w:rPr>
          <w:rFonts w:ascii="Times New Roman" w:eastAsia="Times New Roman" w:hAnsi="Times New Roman" w:cs="Times New Roman"/>
          <w:sz w:val="24"/>
          <w:szCs w:val="24"/>
          <w:lang w:eastAsia="en-GB"/>
        </w:rPr>
        <w:t>2022</w:t>
      </w:r>
      <w:r>
        <w:rPr>
          <w:rFonts w:ascii="Times New Roman" w:eastAsia="Times New Roman" w:hAnsi="Times New Roman" w:cs="Times New Roman"/>
          <w:sz w:val="24"/>
          <w:szCs w:val="24"/>
          <w:lang w:eastAsia="en-GB"/>
        </w:rPr>
        <w:t xml:space="preserve">). </w:t>
      </w:r>
      <w:r w:rsidRPr="009B32C0">
        <w:rPr>
          <w:rFonts w:ascii="Times New Roman" w:eastAsia="Times New Roman" w:hAnsi="Times New Roman" w:cs="Times New Roman"/>
          <w:sz w:val="24"/>
          <w:szCs w:val="24"/>
          <w:lang w:eastAsia="en-GB"/>
        </w:rPr>
        <w:t>The role of (environmental) taxation in supporting sustainability transitions</w:t>
      </w:r>
      <w:r>
        <w:rPr>
          <w:rFonts w:ascii="Times New Roman" w:eastAsia="Times New Roman" w:hAnsi="Times New Roman" w:cs="Times New Roman"/>
          <w:sz w:val="24"/>
          <w:szCs w:val="24"/>
          <w:lang w:eastAsia="en-GB"/>
        </w:rPr>
        <w:t xml:space="preserve">. </w:t>
      </w:r>
      <w:hyperlink r:id="rId55" w:history="1">
        <w:r w:rsidRPr="00E52F29">
          <w:rPr>
            <w:rStyle w:val="Hyperkobling"/>
            <w:rFonts w:ascii="Times New Roman" w:eastAsia="Times New Roman" w:hAnsi="Times New Roman" w:cs="Times New Roman"/>
            <w:sz w:val="24"/>
            <w:szCs w:val="24"/>
            <w:lang w:eastAsia="en-GB"/>
          </w:rPr>
          <w:t>https://www.eea.europa.eu/publications/the-role-of-environmental-taxation</w:t>
        </w:r>
      </w:hyperlink>
      <w:r>
        <w:rPr>
          <w:rFonts w:ascii="Times New Roman" w:eastAsia="Times New Roman" w:hAnsi="Times New Roman" w:cs="Times New Roman"/>
          <w:sz w:val="24"/>
          <w:szCs w:val="24"/>
          <w:lang w:eastAsia="en-GB"/>
        </w:rPr>
        <w:t>. (Accessed 07 August 2022).</w:t>
      </w:r>
    </w:p>
    <w:p w14:paraId="04A46D88" w14:textId="4A6E54DB"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366E42">
        <w:rPr>
          <w:rFonts w:ascii="Times New Roman" w:eastAsia="Times New Roman" w:hAnsi="Times New Roman" w:cs="Times New Roman"/>
          <w:sz w:val="24"/>
          <w:szCs w:val="24"/>
          <w:lang w:eastAsia="en-GB"/>
        </w:rPr>
        <w:t>European Tourism Commission</w:t>
      </w:r>
      <w:r>
        <w:rPr>
          <w:rFonts w:ascii="Times New Roman" w:eastAsia="Times New Roman" w:hAnsi="Times New Roman" w:cs="Times New Roman"/>
          <w:sz w:val="24"/>
          <w:szCs w:val="24"/>
          <w:lang w:eastAsia="en-GB"/>
        </w:rPr>
        <w:t xml:space="preserve"> (</w:t>
      </w:r>
      <w:r w:rsidRPr="00366E42">
        <w:rPr>
          <w:rFonts w:ascii="Times New Roman" w:eastAsia="Times New Roman" w:hAnsi="Times New Roman" w:cs="Times New Roman"/>
          <w:sz w:val="24"/>
          <w:szCs w:val="24"/>
          <w:lang w:eastAsia="en-GB"/>
        </w:rPr>
        <w:t>2022</w:t>
      </w:r>
      <w:r>
        <w:rPr>
          <w:rFonts w:ascii="Times New Roman" w:eastAsia="Times New Roman" w:hAnsi="Times New Roman" w:cs="Times New Roman"/>
          <w:sz w:val="24"/>
          <w:szCs w:val="24"/>
          <w:lang w:eastAsia="en-GB"/>
        </w:rPr>
        <w:t xml:space="preserve">). </w:t>
      </w:r>
      <w:r w:rsidRPr="00366E42">
        <w:rPr>
          <w:rFonts w:ascii="Times New Roman" w:eastAsia="Times New Roman" w:hAnsi="Times New Roman" w:cs="Times New Roman"/>
          <w:sz w:val="24"/>
          <w:szCs w:val="24"/>
          <w:lang w:eastAsia="en-GB"/>
        </w:rPr>
        <w:t>European tourism 2022 – trends &amp; prospects (q1/2022)</w:t>
      </w:r>
      <w:r>
        <w:rPr>
          <w:rFonts w:ascii="Times New Roman" w:eastAsia="Times New Roman" w:hAnsi="Times New Roman" w:cs="Times New Roman"/>
          <w:sz w:val="24"/>
          <w:szCs w:val="24"/>
          <w:lang w:eastAsia="en-GB"/>
        </w:rPr>
        <w:t>.</w:t>
      </w:r>
      <w:r w:rsidRPr="00366E42">
        <w:t xml:space="preserve"> </w:t>
      </w:r>
      <w:hyperlink r:id="rId56" w:history="1">
        <w:r w:rsidRPr="00E52F29">
          <w:rPr>
            <w:rStyle w:val="Hyperkobling"/>
            <w:rFonts w:ascii="Times New Roman" w:eastAsia="Times New Roman" w:hAnsi="Times New Roman" w:cs="Times New Roman"/>
            <w:sz w:val="24"/>
            <w:szCs w:val="24"/>
            <w:lang w:eastAsia="en-GB"/>
          </w:rPr>
          <w:t>https://etc-corporate.org/reports/european-tourism-2022-trends-prospects-q1-2022/</w:t>
        </w:r>
      </w:hyperlink>
      <w:r>
        <w:rPr>
          <w:rFonts w:ascii="Times New Roman" w:eastAsia="Times New Roman" w:hAnsi="Times New Roman" w:cs="Times New Roman"/>
          <w:sz w:val="24"/>
          <w:szCs w:val="24"/>
          <w:lang w:eastAsia="en-GB"/>
        </w:rPr>
        <w:t xml:space="preserve">. </w:t>
      </w:r>
      <w:r w:rsidRPr="00366E42">
        <w:rPr>
          <w:rFonts w:ascii="Times New Roman" w:eastAsia="Times New Roman" w:hAnsi="Times New Roman" w:cs="Times New Roman"/>
          <w:sz w:val="24"/>
          <w:szCs w:val="24"/>
          <w:lang w:eastAsia="en-GB"/>
        </w:rPr>
        <w:t>(Accessed 07 August 2022).</w:t>
      </w:r>
    </w:p>
    <w:p w14:paraId="05BA3313" w14:textId="2F230CA6" w:rsidR="00CC0A59" w:rsidRPr="00CC0A59" w:rsidRDefault="00CC0A59" w:rsidP="00CC0A59">
      <w:pPr>
        <w:spacing w:after="0" w:line="240" w:lineRule="auto"/>
        <w:ind w:left="720" w:hanging="720"/>
        <w:jc w:val="both"/>
        <w:rPr>
          <w:rFonts w:ascii="Times New Roman" w:eastAsia="Times New Roman" w:hAnsi="Times New Roman" w:cs="Times New Roman"/>
          <w:color w:val="FF0000"/>
          <w:sz w:val="24"/>
          <w:szCs w:val="24"/>
          <w:lang w:eastAsia="en-GB"/>
        </w:rPr>
      </w:pPr>
      <w:r w:rsidRPr="00CC0A59">
        <w:rPr>
          <w:rFonts w:ascii="Times New Roman" w:eastAsia="Times New Roman" w:hAnsi="Times New Roman" w:cs="Times New Roman"/>
          <w:color w:val="FF0000"/>
          <w:sz w:val="24"/>
          <w:szCs w:val="24"/>
          <w:lang w:eastAsia="en-GB"/>
        </w:rPr>
        <w:t>Fullerton, D., &amp; Metcalf, G. E. (1997). Environmental taxes and the double-dividend hypothesis: did you really expect something for nothing?</w:t>
      </w:r>
    </w:p>
    <w:p w14:paraId="330AA6D7" w14:textId="28F0945C" w:rsidR="00DF7D72"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F21B47">
        <w:rPr>
          <w:rFonts w:ascii="Times New Roman" w:eastAsia="Times New Roman" w:hAnsi="Times New Roman" w:cs="Times New Roman"/>
          <w:sz w:val="24"/>
          <w:szCs w:val="24"/>
          <w:lang w:eastAsia="en-GB"/>
        </w:rPr>
        <w:t>González, R., &amp; Hosoda, E. B. (2016). Environmental impact of aircraft emissions and aviation fuel tax in Japan. Journal of Air Transport Management, 57, 234-240.</w:t>
      </w:r>
    </w:p>
    <w:p w14:paraId="3AAF54EE" w14:textId="19E6E342" w:rsidR="00DF7D72" w:rsidRPr="00CC0A59" w:rsidRDefault="00CC0A59" w:rsidP="00CC0A59">
      <w:pPr>
        <w:spacing w:after="0" w:line="240" w:lineRule="auto"/>
        <w:ind w:left="720" w:hanging="720"/>
        <w:jc w:val="both"/>
        <w:rPr>
          <w:rFonts w:ascii="Times New Roman" w:eastAsia="Times New Roman" w:hAnsi="Times New Roman" w:cs="Times New Roman"/>
          <w:color w:val="FF0000"/>
          <w:sz w:val="24"/>
          <w:szCs w:val="24"/>
          <w:lang w:eastAsia="en-GB"/>
        </w:rPr>
      </w:pPr>
      <w:r w:rsidRPr="00CC0A59">
        <w:rPr>
          <w:rFonts w:ascii="Times New Roman" w:eastAsia="Times New Roman" w:hAnsi="Times New Roman" w:cs="Times New Roman"/>
          <w:color w:val="FF0000"/>
          <w:sz w:val="24"/>
          <w:szCs w:val="24"/>
          <w:lang w:eastAsia="en-GB"/>
        </w:rPr>
        <w:lastRenderedPageBreak/>
        <w:t>Goulder, L. H. (1995). Environmental taxation and the double dividend: a reader's guide. International tax and public finance, 2(2), 157-183.</w:t>
      </w:r>
    </w:p>
    <w:p w14:paraId="607BBDF4" w14:textId="49A91100" w:rsidR="00DF7D72" w:rsidRPr="00CC0A59" w:rsidRDefault="00DF7D72" w:rsidP="00CC0A59">
      <w:pPr>
        <w:spacing w:after="0" w:line="240" w:lineRule="auto"/>
        <w:ind w:left="720" w:hanging="720"/>
        <w:jc w:val="both"/>
        <w:rPr>
          <w:rFonts w:ascii="Times New Roman" w:hAnsi="Times New Roman" w:cs="Times New Roman"/>
          <w:sz w:val="24"/>
          <w:szCs w:val="24"/>
        </w:rPr>
      </w:pPr>
      <w:r w:rsidRPr="00DF7D72">
        <w:rPr>
          <w:rFonts w:ascii="Times New Roman" w:hAnsi="Times New Roman" w:cs="Times New Roman"/>
          <w:sz w:val="24"/>
          <w:szCs w:val="24"/>
        </w:rPr>
        <w:t xml:space="preserve">Hansen, B. E. (1999). Threshold Effects in Non-Dynamic Panels: Estimation, Testing, and Inference. </w:t>
      </w:r>
      <w:r w:rsidRPr="00DF7D72">
        <w:rPr>
          <w:rFonts w:ascii="Times New Roman" w:hAnsi="Times New Roman" w:cs="Times New Roman"/>
          <w:i/>
          <w:sz w:val="24"/>
          <w:szCs w:val="24"/>
        </w:rPr>
        <w:t>Journal of Econometrics</w:t>
      </w:r>
      <w:r w:rsidRPr="00DF7D72">
        <w:rPr>
          <w:rFonts w:ascii="Times New Roman" w:hAnsi="Times New Roman" w:cs="Times New Roman"/>
          <w:sz w:val="24"/>
          <w:szCs w:val="24"/>
        </w:rPr>
        <w:t xml:space="preserve"> 93 (2): 345–368. </w:t>
      </w:r>
    </w:p>
    <w:p w14:paraId="720615C4" w14:textId="6DF57AA2" w:rsidR="00DF7D72" w:rsidRPr="004262E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DF7D72">
        <w:rPr>
          <w:rFonts w:ascii="Times New Roman" w:hAnsi="Times New Roman" w:cs="Times New Roman"/>
          <w:sz w:val="24"/>
          <w:szCs w:val="24"/>
        </w:rPr>
        <w:t xml:space="preserve">Hansen, B. E. (2000). Sample Splitting and Threshold Estimation. </w:t>
      </w:r>
      <w:proofErr w:type="spellStart"/>
      <w:r w:rsidRPr="004262EF">
        <w:rPr>
          <w:rFonts w:ascii="Times New Roman" w:hAnsi="Times New Roman" w:cs="Times New Roman"/>
          <w:i/>
          <w:sz w:val="24"/>
          <w:szCs w:val="24"/>
        </w:rPr>
        <w:t>Econometrica</w:t>
      </w:r>
      <w:proofErr w:type="spellEnd"/>
      <w:r w:rsidRPr="004262EF">
        <w:rPr>
          <w:rFonts w:ascii="Times New Roman" w:hAnsi="Times New Roman" w:cs="Times New Roman"/>
          <w:sz w:val="24"/>
          <w:szCs w:val="24"/>
        </w:rPr>
        <w:t xml:space="preserve"> 68 (3): 575–603.</w:t>
      </w:r>
    </w:p>
    <w:p w14:paraId="6F5050A7" w14:textId="7D6E8F16" w:rsidR="009253E7" w:rsidRPr="00CC0A59" w:rsidRDefault="00DF7D72" w:rsidP="00CC0A59">
      <w:pPr>
        <w:spacing w:after="0" w:line="240" w:lineRule="auto"/>
        <w:ind w:left="720" w:hanging="720"/>
        <w:jc w:val="both"/>
        <w:rPr>
          <w:rFonts w:ascii="Times New Roman" w:hAnsi="Times New Roman" w:cs="Times New Roman"/>
          <w:color w:val="222222"/>
          <w:sz w:val="24"/>
          <w:szCs w:val="24"/>
          <w:shd w:val="clear" w:color="auto" w:fill="FFFFFF"/>
        </w:rPr>
      </w:pPr>
      <w:proofErr w:type="spellStart"/>
      <w:r w:rsidRPr="004262EF">
        <w:rPr>
          <w:rFonts w:ascii="Times New Roman" w:hAnsi="Times New Roman" w:cs="Times New Roman"/>
          <w:color w:val="222222"/>
          <w:sz w:val="24"/>
          <w:szCs w:val="24"/>
          <w:shd w:val="clear" w:color="auto" w:fill="FFFFFF"/>
        </w:rPr>
        <w:t>Iorember</w:t>
      </w:r>
      <w:proofErr w:type="spellEnd"/>
      <w:r w:rsidRPr="004262EF">
        <w:rPr>
          <w:rFonts w:ascii="Times New Roman" w:hAnsi="Times New Roman" w:cs="Times New Roman"/>
          <w:color w:val="222222"/>
          <w:sz w:val="24"/>
          <w:szCs w:val="24"/>
          <w:shd w:val="clear" w:color="auto" w:fill="FFFFFF"/>
        </w:rPr>
        <w:t xml:space="preserve">, P. T., Gbaka, S., </w:t>
      </w:r>
      <w:proofErr w:type="spellStart"/>
      <w:r w:rsidRPr="004262EF">
        <w:rPr>
          <w:rFonts w:ascii="Times New Roman" w:hAnsi="Times New Roman" w:cs="Times New Roman"/>
          <w:color w:val="222222"/>
          <w:sz w:val="24"/>
          <w:szCs w:val="24"/>
          <w:shd w:val="clear" w:color="auto" w:fill="FFFFFF"/>
        </w:rPr>
        <w:t>Jelilov</w:t>
      </w:r>
      <w:proofErr w:type="spellEnd"/>
      <w:r w:rsidRPr="004262EF">
        <w:rPr>
          <w:rFonts w:ascii="Times New Roman" w:hAnsi="Times New Roman" w:cs="Times New Roman"/>
          <w:color w:val="222222"/>
          <w:sz w:val="24"/>
          <w:szCs w:val="24"/>
          <w:shd w:val="clear" w:color="auto" w:fill="FFFFFF"/>
        </w:rPr>
        <w:t xml:space="preserve">, G., </w:t>
      </w:r>
      <w:proofErr w:type="spellStart"/>
      <w:r w:rsidRPr="004262EF">
        <w:rPr>
          <w:rFonts w:ascii="Times New Roman" w:hAnsi="Times New Roman" w:cs="Times New Roman"/>
          <w:color w:val="222222"/>
          <w:sz w:val="24"/>
          <w:szCs w:val="24"/>
          <w:shd w:val="clear" w:color="auto" w:fill="FFFFFF"/>
        </w:rPr>
        <w:t>Alymkulova</w:t>
      </w:r>
      <w:proofErr w:type="spellEnd"/>
      <w:r w:rsidRPr="004262EF">
        <w:rPr>
          <w:rFonts w:ascii="Times New Roman" w:hAnsi="Times New Roman" w:cs="Times New Roman"/>
          <w:color w:val="222222"/>
          <w:sz w:val="24"/>
          <w:szCs w:val="24"/>
          <w:shd w:val="clear" w:color="auto" w:fill="FFFFFF"/>
        </w:rPr>
        <w:t xml:space="preserve">, N., &amp; Usman, O. (2022). </w:t>
      </w:r>
      <w:r w:rsidRPr="009253E7">
        <w:rPr>
          <w:rFonts w:ascii="Times New Roman" w:hAnsi="Times New Roman" w:cs="Times New Roman"/>
          <w:color w:val="222222"/>
          <w:sz w:val="24"/>
          <w:szCs w:val="24"/>
          <w:shd w:val="clear" w:color="auto" w:fill="FFFFFF"/>
        </w:rPr>
        <w:t>Impact of international trade, energy consumption and income on environmental degradation in Africa's OPEC member countries. </w:t>
      </w:r>
      <w:r w:rsidRPr="009253E7">
        <w:rPr>
          <w:rFonts w:ascii="Times New Roman" w:hAnsi="Times New Roman" w:cs="Times New Roman"/>
          <w:i/>
          <w:iCs/>
          <w:color w:val="222222"/>
          <w:sz w:val="24"/>
          <w:szCs w:val="24"/>
          <w:shd w:val="clear" w:color="auto" w:fill="FFFFFF"/>
        </w:rPr>
        <w:t>African Development Review</w:t>
      </w:r>
      <w:r>
        <w:rPr>
          <w:rFonts w:ascii="Times New Roman" w:hAnsi="Times New Roman" w:cs="Times New Roman"/>
          <w:color w:val="222222"/>
          <w:sz w:val="24"/>
          <w:szCs w:val="24"/>
          <w:shd w:val="clear" w:color="auto" w:fill="FFFFFF"/>
        </w:rPr>
        <w:t>, 34(2), 175-187</w:t>
      </w:r>
    </w:p>
    <w:p w14:paraId="7A2A26FC" w14:textId="1574311C" w:rsidR="000E0BCF" w:rsidRDefault="00DF7D72" w:rsidP="00CC0A59">
      <w:pPr>
        <w:spacing w:after="0" w:line="240" w:lineRule="auto"/>
        <w:ind w:left="567" w:hanging="567"/>
        <w:jc w:val="both"/>
        <w:rPr>
          <w:rFonts w:ascii="Times New Roman" w:hAnsi="Times New Roman" w:cs="Times New Roman"/>
          <w:color w:val="222222"/>
          <w:sz w:val="24"/>
          <w:szCs w:val="24"/>
          <w:shd w:val="clear" w:color="auto" w:fill="FFFFFF"/>
        </w:rPr>
      </w:pPr>
      <w:r w:rsidRPr="003D2FE4">
        <w:rPr>
          <w:rFonts w:ascii="Times New Roman" w:hAnsi="Times New Roman" w:cs="Times New Roman"/>
          <w:color w:val="222222"/>
          <w:sz w:val="24"/>
          <w:szCs w:val="24"/>
          <w:shd w:val="clear" w:color="auto" w:fill="FFFFFF"/>
        </w:rPr>
        <w:t xml:space="preserve">Katircioğlu, S. T. 2014. Testing the </w:t>
      </w:r>
      <w:proofErr w:type="gramStart"/>
      <w:r w:rsidRPr="003D2FE4">
        <w:rPr>
          <w:rFonts w:ascii="Times New Roman" w:hAnsi="Times New Roman" w:cs="Times New Roman"/>
          <w:color w:val="222222"/>
          <w:sz w:val="24"/>
          <w:szCs w:val="24"/>
          <w:shd w:val="clear" w:color="auto" w:fill="FFFFFF"/>
        </w:rPr>
        <w:t>tourism-induced</w:t>
      </w:r>
      <w:proofErr w:type="gramEnd"/>
      <w:r w:rsidRPr="003D2FE4">
        <w:rPr>
          <w:rFonts w:ascii="Times New Roman" w:hAnsi="Times New Roman" w:cs="Times New Roman"/>
          <w:color w:val="222222"/>
          <w:sz w:val="24"/>
          <w:szCs w:val="24"/>
          <w:shd w:val="clear" w:color="auto" w:fill="FFFFFF"/>
        </w:rPr>
        <w:t xml:space="preserve"> EKC hypothesis: The case of Singapore. </w:t>
      </w:r>
      <w:r>
        <w:rPr>
          <w:rFonts w:ascii="Times New Roman" w:eastAsia="CharisSIL" w:hAnsi="Times New Roman" w:cs="Times New Roman"/>
          <w:i/>
          <w:sz w:val="24"/>
          <w:szCs w:val="24"/>
        </w:rPr>
        <w:t>Economic</w:t>
      </w:r>
      <w:r w:rsidRPr="003D2FE4">
        <w:rPr>
          <w:rFonts w:ascii="Times New Roman" w:eastAsia="CharisSIL" w:hAnsi="Times New Roman" w:cs="Times New Roman"/>
          <w:i/>
          <w:sz w:val="24"/>
          <w:szCs w:val="24"/>
        </w:rPr>
        <w:t>. Modell</w:t>
      </w:r>
      <w:r>
        <w:rPr>
          <w:rFonts w:ascii="Times New Roman" w:eastAsia="CharisSIL" w:hAnsi="Times New Roman" w:cs="Times New Roman"/>
          <w:i/>
          <w:sz w:val="24"/>
          <w:szCs w:val="24"/>
        </w:rPr>
        <w:t>ing</w:t>
      </w:r>
      <w:r w:rsidRPr="003D2FE4">
        <w:rPr>
          <w:rFonts w:ascii="Times New Roman" w:eastAsia="CharisSIL" w:hAnsi="Times New Roman" w:cs="Times New Roman"/>
          <w:i/>
          <w:sz w:val="24"/>
          <w:szCs w:val="24"/>
        </w:rPr>
        <w:t>,</w:t>
      </w:r>
      <w:r w:rsidRPr="003D2FE4">
        <w:rPr>
          <w:rFonts w:ascii="Times New Roman" w:eastAsia="CharisSIL" w:hAnsi="Times New Roman" w:cs="Times New Roman"/>
          <w:sz w:val="24"/>
          <w:szCs w:val="24"/>
        </w:rPr>
        <w:t xml:space="preserve"> </w:t>
      </w:r>
      <w:r w:rsidRPr="003D2FE4">
        <w:rPr>
          <w:rFonts w:ascii="Times New Roman" w:hAnsi="Times New Roman" w:cs="Times New Roman"/>
          <w:i/>
          <w:iCs/>
          <w:color w:val="222222"/>
          <w:sz w:val="24"/>
          <w:szCs w:val="24"/>
          <w:shd w:val="clear" w:color="auto" w:fill="FFFFFF"/>
        </w:rPr>
        <w:t>41</w:t>
      </w:r>
      <w:r w:rsidRPr="003D2FE4">
        <w:rPr>
          <w:rFonts w:ascii="Times New Roman" w:hAnsi="Times New Roman" w:cs="Times New Roman"/>
          <w:color w:val="222222"/>
          <w:sz w:val="24"/>
          <w:szCs w:val="24"/>
          <w:shd w:val="clear" w:color="auto" w:fill="FFFFFF"/>
        </w:rPr>
        <w:t>, 383-391.</w:t>
      </w:r>
    </w:p>
    <w:p w14:paraId="682E0A72" w14:textId="258CCB3A" w:rsidR="005F1F30" w:rsidRDefault="00DF7D72" w:rsidP="00CC0A59">
      <w:pPr>
        <w:spacing w:after="0" w:line="240" w:lineRule="auto"/>
        <w:ind w:left="567" w:hanging="567"/>
        <w:jc w:val="both"/>
        <w:rPr>
          <w:rFonts w:ascii="Times New Roman" w:hAnsi="Times New Roman" w:cs="Times New Roman"/>
          <w:sz w:val="24"/>
          <w:szCs w:val="24"/>
        </w:rPr>
      </w:pPr>
      <w:r w:rsidRPr="0078143E">
        <w:rPr>
          <w:rFonts w:ascii="Times New Roman" w:hAnsi="Times New Roman" w:cs="Times New Roman"/>
          <w:sz w:val="24"/>
          <w:szCs w:val="24"/>
        </w:rPr>
        <w:t xml:space="preserve">Katircioglu, S.T., </w:t>
      </w:r>
      <w:r>
        <w:rPr>
          <w:rFonts w:ascii="Times New Roman" w:hAnsi="Times New Roman" w:cs="Times New Roman"/>
          <w:sz w:val="24"/>
          <w:szCs w:val="24"/>
        </w:rPr>
        <w:t>(</w:t>
      </w:r>
      <w:r w:rsidRPr="0078143E">
        <w:rPr>
          <w:rFonts w:ascii="Times New Roman" w:hAnsi="Times New Roman" w:cs="Times New Roman"/>
          <w:sz w:val="24"/>
          <w:szCs w:val="24"/>
        </w:rPr>
        <w:t>2014</w:t>
      </w:r>
      <w:r>
        <w:rPr>
          <w:rFonts w:ascii="Times New Roman" w:hAnsi="Times New Roman" w:cs="Times New Roman"/>
          <w:sz w:val="24"/>
          <w:szCs w:val="24"/>
        </w:rPr>
        <w:t>)</w:t>
      </w:r>
      <w:r w:rsidRPr="0078143E">
        <w:rPr>
          <w:rFonts w:ascii="Times New Roman" w:hAnsi="Times New Roman" w:cs="Times New Roman"/>
          <w:sz w:val="24"/>
          <w:szCs w:val="24"/>
        </w:rPr>
        <w:t>. International tourism, energy</w:t>
      </w:r>
      <w:r>
        <w:rPr>
          <w:rFonts w:ascii="Times New Roman" w:hAnsi="Times New Roman" w:cs="Times New Roman"/>
          <w:sz w:val="24"/>
          <w:szCs w:val="24"/>
        </w:rPr>
        <w:t xml:space="preserve"> consumption, and environmental </w:t>
      </w:r>
      <w:r w:rsidRPr="0078143E">
        <w:rPr>
          <w:rFonts w:ascii="Times New Roman" w:hAnsi="Times New Roman" w:cs="Times New Roman"/>
          <w:sz w:val="24"/>
          <w:szCs w:val="24"/>
        </w:rPr>
        <w:t>pollution: the case of Turkey. Renew. Sustain. Energy Rev. 36, 180–187.</w:t>
      </w:r>
    </w:p>
    <w:p w14:paraId="269C14EA" w14:textId="6A6B8C6F" w:rsidR="00AD246C" w:rsidRDefault="00DF7D72" w:rsidP="00CC0A59">
      <w:pPr>
        <w:spacing w:after="0" w:line="240" w:lineRule="auto"/>
        <w:ind w:left="567" w:hanging="567"/>
        <w:jc w:val="both"/>
        <w:rPr>
          <w:rFonts w:ascii="Times New Roman" w:hAnsi="Times New Roman" w:cs="Times New Roman"/>
          <w:sz w:val="24"/>
          <w:szCs w:val="24"/>
        </w:rPr>
      </w:pPr>
      <w:r w:rsidRPr="005F1F30">
        <w:rPr>
          <w:rFonts w:ascii="Times New Roman" w:hAnsi="Times New Roman" w:cs="Times New Roman"/>
          <w:sz w:val="24"/>
          <w:szCs w:val="24"/>
        </w:rPr>
        <w:t>Levin, A., C.-F. Lin, and C.-S. J. Chu. 2002. Unit root tests in pan</w:t>
      </w:r>
      <w:r>
        <w:rPr>
          <w:rFonts w:ascii="Times New Roman" w:hAnsi="Times New Roman" w:cs="Times New Roman"/>
          <w:sz w:val="24"/>
          <w:szCs w:val="24"/>
        </w:rPr>
        <w:t>el data: Asymptotic and finite-</w:t>
      </w:r>
      <w:r w:rsidRPr="005F1F30">
        <w:rPr>
          <w:rFonts w:ascii="Times New Roman" w:hAnsi="Times New Roman" w:cs="Times New Roman"/>
          <w:sz w:val="24"/>
          <w:szCs w:val="24"/>
        </w:rPr>
        <w:t xml:space="preserve">sample properties. </w:t>
      </w:r>
      <w:r w:rsidRPr="005F1F30">
        <w:rPr>
          <w:rFonts w:ascii="Times New Roman" w:hAnsi="Times New Roman" w:cs="Times New Roman"/>
          <w:i/>
          <w:iCs/>
          <w:sz w:val="24"/>
          <w:szCs w:val="24"/>
        </w:rPr>
        <w:t xml:space="preserve">Journal of Econometrics </w:t>
      </w:r>
      <w:r w:rsidRPr="005F1F30">
        <w:rPr>
          <w:rFonts w:ascii="Times New Roman" w:hAnsi="Times New Roman" w:cs="Times New Roman"/>
          <w:sz w:val="24"/>
          <w:szCs w:val="24"/>
        </w:rPr>
        <w:t>108: 1–24.</w:t>
      </w:r>
    </w:p>
    <w:p w14:paraId="0EDAB56E" w14:textId="3AF76640" w:rsidR="000E0BCF" w:rsidRPr="00CC0A59" w:rsidRDefault="00AD246C" w:rsidP="00CC0A59">
      <w:pPr>
        <w:spacing w:after="0" w:line="240" w:lineRule="auto"/>
        <w:ind w:left="567" w:hanging="567"/>
        <w:jc w:val="both"/>
        <w:rPr>
          <w:rFonts w:ascii="Times New Roman" w:hAnsi="Times New Roman" w:cs="Times New Roman"/>
          <w:sz w:val="24"/>
          <w:szCs w:val="24"/>
          <w:shd w:val="clear" w:color="auto" w:fill="FFFFFF"/>
        </w:rPr>
      </w:pPr>
      <w:r w:rsidRPr="004908A9">
        <w:rPr>
          <w:rFonts w:ascii="Times New Roman" w:hAnsi="Times New Roman" w:cs="Times New Roman"/>
          <w:sz w:val="24"/>
          <w:szCs w:val="24"/>
          <w:shd w:val="clear" w:color="auto" w:fill="FFFFFF"/>
        </w:rPr>
        <w:t>Machado, J. A., &amp; Silva, J. S. (2019). Quantiles via moments. </w:t>
      </w:r>
      <w:r w:rsidRPr="004908A9">
        <w:rPr>
          <w:rFonts w:ascii="Times New Roman" w:hAnsi="Times New Roman" w:cs="Times New Roman"/>
          <w:i/>
          <w:iCs/>
          <w:sz w:val="24"/>
          <w:szCs w:val="24"/>
          <w:shd w:val="clear" w:color="auto" w:fill="FFFFFF"/>
        </w:rPr>
        <w:t>Journal of Econometrics</w:t>
      </w:r>
      <w:r w:rsidRPr="004908A9">
        <w:rPr>
          <w:rFonts w:ascii="Times New Roman" w:hAnsi="Times New Roman" w:cs="Times New Roman"/>
          <w:sz w:val="24"/>
          <w:szCs w:val="24"/>
          <w:shd w:val="clear" w:color="auto" w:fill="FFFFFF"/>
        </w:rPr>
        <w:t>, 213(1), 145-173.</w:t>
      </w:r>
    </w:p>
    <w:p w14:paraId="78580FD8" w14:textId="5ABC8E4C"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F21B47">
        <w:rPr>
          <w:rFonts w:ascii="Times New Roman" w:eastAsia="Times New Roman" w:hAnsi="Times New Roman" w:cs="Times New Roman"/>
          <w:sz w:val="24"/>
          <w:szCs w:val="24"/>
          <w:lang w:eastAsia="en-GB"/>
        </w:rPr>
        <w:t>Meng, S., &amp; Pham, T. (2017). The impact of the Australian carbon tax on the tourism industry. Tourism Economics, 23(3), 506-522.</w:t>
      </w:r>
    </w:p>
    <w:p w14:paraId="679E874C" w14:textId="0EABE163"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646396">
        <w:rPr>
          <w:rFonts w:ascii="Times New Roman" w:eastAsia="Times New Roman" w:hAnsi="Times New Roman" w:cs="Times New Roman"/>
          <w:sz w:val="24"/>
          <w:szCs w:val="24"/>
          <w:lang w:eastAsia="en-GB"/>
        </w:rPr>
        <w:t>Palmer, T., &amp; Riera, A. (2003). Tourism and environmental taxes. With special reference to the “Balearic ecotax”. Tourism Management, 24(6), 665-674.</w:t>
      </w:r>
    </w:p>
    <w:p w14:paraId="2F391A9B" w14:textId="72F25C64"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8741BF">
        <w:rPr>
          <w:rFonts w:ascii="Times New Roman" w:eastAsia="Times New Roman" w:hAnsi="Times New Roman" w:cs="Times New Roman"/>
          <w:sz w:val="24"/>
          <w:szCs w:val="24"/>
          <w:lang w:eastAsia="en-GB"/>
        </w:rPr>
        <w:t>Paredes, D., &amp; Rivera, N. M. (2017). Mineral taxes and the local public goods provision in mining communities. Resources Policy, 53, 328-339.</w:t>
      </w:r>
    </w:p>
    <w:p w14:paraId="74D10A1A" w14:textId="7ABAC6DA"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10027D">
        <w:rPr>
          <w:rFonts w:ascii="Times New Roman" w:eastAsia="Times New Roman" w:hAnsi="Times New Roman" w:cs="Times New Roman"/>
          <w:sz w:val="24"/>
          <w:szCs w:val="24"/>
          <w:lang w:eastAsia="en-GB"/>
        </w:rPr>
        <w:t>Pearce, D. (1991). The role of carbon taxes in adjusting to global warming. The economic journal, 101(407), 938-948.</w:t>
      </w:r>
    </w:p>
    <w:p w14:paraId="7403660C" w14:textId="09180D16" w:rsidR="000E0BCF" w:rsidRPr="00CC0A59" w:rsidRDefault="00DF7D72" w:rsidP="00CC0A59">
      <w:pPr>
        <w:spacing w:after="0" w:line="240" w:lineRule="auto"/>
        <w:ind w:left="567" w:hanging="567"/>
        <w:jc w:val="both"/>
        <w:rPr>
          <w:rFonts w:ascii="Times New Roman" w:hAnsi="Times New Roman" w:cs="Times New Roman"/>
          <w:color w:val="222222"/>
          <w:sz w:val="24"/>
          <w:szCs w:val="24"/>
          <w:shd w:val="clear" w:color="auto" w:fill="FFFFFF"/>
        </w:rPr>
      </w:pPr>
      <w:proofErr w:type="spellStart"/>
      <w:r w:rsidRPr="009146D8">
        <w:rPr>
          <w:rFonts w:ascii="Times New Roman" w:hAnsi="Times New Roman" w:cs="Times New Roman"/>
          <w:color w:val="222222"/>
          <w:sz w:val="24"/>
          <w:szCs w:val="24"/>
          <w:shd w:val="clear" w:color="auto" w:fill="FFFFFF"/>
        </w:rPr>
        <w:t>Roudi</w:t>
      </w:r>
      <w:proofErr w:type="spellEnd"/>
      <w:r w:rsidRPr="009146D8">
        <w:rPr>
          <w:rFonts w:ascii="Times New Roman" w:hAnsi="Times New Roman" w:cs="Times New Roman"/>
          <w:color w:val="222222"/>
          <w:sz w:val="24"/>
          <w:szCs w:val="24"/>
          <w:shd w:val="clear" w:color="auto" w:fill="FFFFFF"/>
        </w:rPr>
        <w:t>, S., Arasli, H., &amp; Akadiri, S. S. (2019). New insights into an old issue–examining the influence of tourism on economic growth: evidence from selected small island developing states. </w:t>
      </w:r>
      <w:r w:rsidRPr="009146D8">
        <w:rPr>
          <w:rFonts w:ascii="Times New Roman" w:hAnsi="Times New Roman" w:cs="Times New Roman"/>
          <w:i/>
          <w:iCs/>
          <w:color w:val="222222"/>
          <w:sz w:val="24"/>
          <w:szCs w:val="24"/>
          <w:shd w:val="clear" w:color="auto" w:fill="FFFFFF"/>
        </w:rPr>
        <w:t>Current Issues in Tourism</w:t>
      </w:r>
      <w:r w:rsidRPr="009146D8">
        <w:rPr>
          <w:rFonts w:ascii="Times New Roman" w:hAnsi="Times New Roman" w:cs="Times New Roman"/>
          <w:color w:val="222222"/>
          <w:sz w:val="24"/>
          <w:szCs w:val="24"/>
          <w:shd w:val="clear" w:color="auto" w:fill="FFFFFF"/>
        </w:rPr>
        <w:t>, </w:t>
      </w:r>
      <w:r w:rsidRPr="009146D8">
        <w:rPr>
          <w:rFonts w:ascii="Times New Roman" w:hAnsi="Times New Roman" w:cs="Times New Roman"/>
          <w:i/>
          <w:iCs/>
          <w:color w:val="222222"/>
          <w:sz w:val="24"/>
          <w:szCs w:val="24"/>
          <w:shd w:val="clear" w:color="auto" w:fill="FFFFFF"/>
        </w:rPr>
        <w:t>22</w:t>
      </w:r>
      <w:r w:rsidRPr="009146D8">
        <w:rPr>
          <w:rFonts w:ascii="Times New Roman" w:hAnsi="Times New Roman" w:cs="Times New Roman"/>
          <w:color w:val="222222"/>
          <w:sz w:val="24"/>
          <w:szCs w:val="24"/>
          <w:shd w:val="clear" w:color="auto" w:fill="FFFFFF"/>
        </w:rPr>
        <w:t>(11), 1280-1300.</w:t>
      </w:r>
    </w:p>
    <w:p w14:paraId="5367C7C8" w14:textId="77C2D952"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8154E2">
        <w:rPr>
          <w:rFonts w:ascii="Times New Roman" w:eastAsia="Times New Roman" w:hAnsi="Times New Roman" w:cs="Times New Roman"/>
          <w:sz w:val="24"/>
          <w:szCs w:val="24"/>
          <w:lang w:eastAsia="en-GB"/>
        </w:rPr>
        <w:t>Tan, S. H., Habibullah, M. S., Tan, S. K., &amp; Choon, S. W. (2017). The impact of the dimensions of environmental performance on firm performance in travel and tourism industry. Journal of environmental management, 203, 603-611.</w:t>
      </w:r>
    </w:p>
    <w:p w14:paraId="6A42EBA8" w14:textId="601FBB8F" w:rsidR="000E0BCF"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0F7036">
        <w:rPr>
          <w:rFonts w:ascii="Times New Roman" w:eastAsia="Times New Roman" w:hAnsi="Times New Roman" w:cs="Times New Roman"/>
          <w:sz w:val="24"/>
          <w:szCs w:val="24"/>
          <w:lang w:eastAsia="en-GB"/>
        </w:rPr>
        <w:t>Tol, R. S. (2007). The impact of a carbon tax on international tourism. Transportation Research Part D: Transport and Environment, 12(2), 129-142.</w:t>
      </w:r>
    </w:p>
    <w:p w14:paraId="4C4A1B60" w14:textId="6319640A" w:rsidR="000E0BCF" w:rsidRPr="00CC0A59" w:rsidRDefault="00DF7D72" w:rsidP="00CC0A59">
      <w:pPr>
        <w:spacing w:after="0" w:line="240" w:lineRule="auto"/>
        <w:ind w:left="720" w:hanging="720"/>
        <w:jc w:val="both"/>
        <w:rPr>
          <w:rFonts w:ascii="Times New Roman" w:hAnsi="Times New Roman" w:cs="Times New Roman"/>
          <w:color w:val="222222"/>
          <w:sz w:val="24"/>
          <w:szCs w:val="24"/>
          <w:shd w:val="clear" w:color="auto" w:fill="FFFFFF"/>
        </w:rPr>
      </w:pPr>
      <w:r w:rsidRPr="000E0BCF">
        <w:rPr>
          <w:rFonts w:ascii="Times New Roman" w:hAnsi="Times New Roman" w:cs="Times New Roman"/>
          <w:color w:val="222222"/>
          <w:sz w:val="24"/>
          <w:szCs w:val="24"/>
          <w:shd w:val="clear" w:color="auto" w:fill="FFFFFF"/>
        </w:rPr>
        <w:t>Westerlund, J., &amp; Edgerton, D. L. (2007). A panel bootstrap cointegration test. </w:t>
      </w:r>
      <w:r w:rsidRPr="000E0BCF">
        <w:rPr>
          <w:rFonts w:ascii="Times New Roman" w:hAnsi="Times New Roman" w:cs="Times New Roman"/>
          <w:i/>
          <w:iCs/>
          <w:color w:val="222222"/>
          <w:sz w:val="24"/>
          <w:szCs w:val="24"/>
          <w:shd w:val="clear" w:color="auto" w:fill="FFFFFF"/>
        </w:rPr>
        <w:t>Economics letters</w:t>
      </w:r>
      <w:r w:rsidRPr="000E0BCF">
        <w:rPr>
          <w:rFonts w:ascii="Times New Roman" w:hAnsi="Times New Roman" w:cs="Times New Roman"/>
          <w:color w:val="222222"/>
          <w:sz w:val="24"/>
          <w:szCs w:val="24"/>
          <w:shd w:val="clear" w:color="auto" w:fill="FFFFFF"/>
        </w:rPr>
        <w:t>, </w:t>
      </w:r>
      <w:r w:rsidRPr="000E0BCF">
        <w:rPr>
          <w:rFonts w:ascii="Times New Roman" w:hAnsi="Times New Roman" w:cs="Times New Roman"/>
          <w:i/>
          <w:iCs/>
          <w:color w:val="222222"/>
          <w:sz w:val="24"/>
          <w:szCs w:val="24"/>
          <w:shd w:val="clear" w:color="auto" w:fill="FFFFFF"/>
        </w:rPr>
        <w:t>97</w:t>
      </w:r>
      <w:r w:rsidRPr="000E0BCF">
        <w:rPr>
          <w:rFonts w:ascii="Times New Roman" w:hAnsi="Times New Roman" w:cs="Times New Roman"/>
          <w:color w:val="222222"/>
          <w:sz w:val="24"/>
          <w:szCs w:val="24"/>
          <w:shd w:val="clear" w:color="auto" w:fill="FFFFFF"/>
        </w:rPr>
        <w:t>(3), 185-190.</w:t>
      </w:r>
    </w:p>
    <w:p w14:paraId="413B4FD5" w14:textId="3C6B3451" w:rsidR="009253E7"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767423">
        <w:rPr>
          <w:rFonts w:ascii="Times New Roman" w:eastAsia="Times New Roman" w:hAnsi="Times New Roman" w:cs="Times New Roman"/>
          <w:sz w:val="24"/>
          <w:szCs w:val="24"/>
          <w:lang w:eastAsia="en-GB"/>
        </w:rPr>
        <w:t>Wolde-Rufael, Y., &amp; Mulat-weldemeskel, E. (2022). Effectiveness of environmental taxes and environmental stringent policies on CO2 emissions: the European experience. Environment, Development and Sustainability, 1-29.</w:t>
      </w:r>
    </w:p>
    <w:p w14:paraId="110AB310" w14:textId="698AF444" w:rsidR="009253E7"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9253E7">
        <w:rPr>
          <w:rFonts w:ascii="Times New Roman" w:hAnsi="Times New Roman"/>
          <w:bCs/>
          <w:sz w:val="24"/>
          <w:szCs w:val="24"/>
        </w:rPr>
        <w:t>Usman, O., Alola, A.A., and Akadiri, S.S., (2022) “</w:t>
      </w:r>
      <w:r w:rsidRPr="009253E7">
        <w:rPr>
          <w:rFonts w:ascii="Times New Roman" w:hAnsi="Times New Roman"/>
          <w:sz w:val="24"/>
          <w:szCs w:val="24"/>
        </w:rPr>
        <w:t xml:space="preserve">Effects of domestic material consumption, renewable energy, and financial development on environmental sustainability in the EU-28: Evidence from GMM panel-VAR”, </w:t>
      </w:r>
      <w:r w:rsidRPr="009253E7">
        <w:rPr>
          <w:rFonts w:ascii="Times New Roman" w:hAnsi="Times New Roman"/>
          <w:i/>
          <w:sz w:val="24"/>
          <w:szCs w:val="24"/>
          <w:shd w:val="clear" w:color="auto" w:fill="FFFFFF"/>
        </w:rPr>
        <w:t>Renewable Energy</w:t>
      </w:r>
      <w:r w:rsidRPr="009253E7">
        <w:rPr>
          <w:rFonts w:ascii="Times New Roman" w:hAnsi="Times New Roman"/>
          <w:sz w:val="24"/>
          <w:szCs w:val="24"/>
          <w:shd w:val="clear" w:color="auto" w:fill="FFFFFF"/>
        </w:rPr>
        <w:t>. 184, 239-251,</w:t>
      </w:r>
    </w:p>
    <w:p w14:paraId="02DD1CCA" w14:textId="12C9CF10" w:rsidR="009253E7"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9253E7">
        <w:rPr>
          <w:rFonts w:ascii="Times New Roman" w:hAnsi="Times New Roman" w:cs="Times New Roman"/>
          <w:sz w:val="24"/>
          <w:szCs w:val="24"/>
        </w:rPr>
        <w:t>Usman O.,</w:t>
      </w:r>
      <w:r w:rsidRPr="009253E7">
        <w:rPr>
          <w:rFonts w:ascii="Times New Roman" w:eastAsia="Times New Roman" w:hAnsi="Times New Roman" w:cs="Times New Roman"/>
          <w:bCs/>
          <w:sz w:val="24"/>
          <w:szCs w:val="24"/>
        </w:rPr>
        <w:t xml:space="preserve"> </w:t>
      </w:r>
      <w:r w:rsidRPr="009253E7">
        <w:rPr>
          <w:rFonts w:ascii="Times New Roman" w:eastAsia="Times New Roman" w:hAnsi="Times New Roman" w:cs="Times New Roman"/>
          <w:sz w:val="24"/>
          <w:szCs w:val="24"/>
        </w:rPr>
        <w:t>Jelilov, G.</w:t>
      </w:r>
      <w:r w:rsidRPr="009253E7">
        <w:rPr>
          <w:rFonts w:ascii="Times New Roman" w:hAnsi="Times New Roman" w:cs="Times New Roman"/>
          <w:sz w:val="24"/>
          <w:szCs w:val="24"/>
        </w:rPr>
        <w:t>,</w:t>
      </w:r>
      <w:r w:rsidRPr="009253E7">
        <w:rPr>
          <w:rFonts w:ascii="Times New Roman" w:eastAsia="Times New Roman" w:hAnsi="Times New Roman" w:cs="Times New Roman"/>
          <w:sz w:val="24"/>
          <w:szCs w:val="24"/>
        </w:rPr>
        <w:t xml:space="preserve"> </w:t>
      </w:r>
      <w:proofErr w:type="spellStart"/>
      <w:r w:rsidRPr="009253E7">
        <w:rPr>
          <w:rFonts w:ascii="Times New Roman" w:hAnsi="Times New Roman" w:cs="Times New Roman"/>
          <w:sz w:val="24"/>
          <w:szCs w:val="24"/>
        </w:rPr>
        <w:t>Iorember</w:t>
      </w:r>
      <w:proofErr w:type="spellEnd"/>
      <w:r w:rsidRPr="009253E7">
        <w:rPr>
          <w:rFonts w:ascii="Times New Roman" w:hAnsi="Times New Roman" w:cs="Times New Roman"/>
          <w:sz w:val="24"/>
          <w:szCs w:val="24"/>
        </w:rPr>
        <w:t xml:space="preserve">, P.T., </w:t>
      </w:r>
      <w:r w:rsidRPr="009253E7">
        <w:rPr>
          <w:rFonts w:ascii="Times New Roman" w:eastAsia="Times New Roman" w:hAnsi="Times New Roman" w:cs="Times New Roman"/>
          <w:bCs/>
          <w:sz w:val="24"/>
          <w:szCs w:val="24"/>
        </w:rPr>
        <w:t>Işik</w:t>
      </w:r>
      <w:r w:rsidRPr="009253E7">
        <w:rPr>
          <w:rFonts w:ascii="Times New Roman" w:hAnsi="Times New Roman" w:cs="Times New Roman"/>
          <w:bCs/>
          <w:sz w:val="24"/>
          <w:szCs w:val="24"/>
        </w:rPr>
        <w:t>, A., Ike, G.N, Sarkodie, S.A.</w:t>
      </w:r>
      <w:r w:rsidRPr="009253E7">
        <w:rPr>
          <w:rFonts w:ascii="Times New Roman" w:hAnsi="Times New Roman" w:cs="Times New Roman"/>
          <w:sz w:val="24"/>
          <w:szCs w:val="24"/>
        </w:rPr>
        <w:t xml:space="preserve"> (2021) Towards Mitigating Ecological Degradation in G-7 Countries: Accounting for Economic Effect dynamics, Renewable En</w:t>
      </w:r>
      <w:r>
        <w:rPr>
          <w:rFonts w:ascii="Times New Roman" w:hAnsi="Times New Roman" w:cs="Times New Roman"/>
          <w:sz w:val="24"/>
          <w:szCs w:val="24"/>
        </w:rPr>
        <w:t>ergy Innovation and Consumption,</w:t>
      </w:r>
      <w:r w:rsidRPr="009253E7">
        <w:rPr>
          <w:rFonts w:ascii="Times New Roman" w:hAnsi="Times New Roman" w:cs="Times New Roman"/>
          <w:sz w:val="24"/>
          <w:szCs w:val="24"/>
        </w:rPr>
        <w:t xml:space="preserve"> </w:t>
      </w:r>
      <w:r w:rsidRPr="009253E7">
        <w:rPr>
          <w:rFonts w:ascii="Times New Roman" w:hAnsi="Times New Roman" w:cs="Times New Roman"/>
          <w:i/>
          <w:sz w:val="24"/>
          <w:szCs w:val="24"/>
        </w:rPr>
        <w:t>Heliyon</w:t>
      </w:r>
      <w:r w:rsidRPr="009253E7">
        <w:rPr>
          <w:rFonts w:ascii="Times New Roman" w:hAnsi="Times New Roman" w:cs="Times New Roman"/>
          <w:sz w:val="24"/>
          <w:szCs w:val="24"/>
        </w:rPr>
        <w:t xml:space="preserve"> 7(12), </w:t>
      </w:r>
      <w:proofErr w:type="gramStart"/>
      <w:r w:rsidRPr="009253E7">
        <w:rPr>
          <w:rFonts w:ascii="Times New Roman" w:hAnsi="Times New Roman" w:cs="Times New Roman"/>
          <w:sz w:val="24"/>
          <w:szCs w:val="24"/>
        </w:rPr>
        <w:t>e08592</w:t>
      </w:r>
      <w:proofErr w:type="gramEnd"/>
    </w:p>
    <w:p w14:paraId="77A62D06" w14:textId="77777777" w:rsidR="007F18D1" w:rsidRPr="009253E7" w:rsidRDefault="00DF7D72" w:rsidP="00CC0A59">
      <w:pPr>
        <w:spacing w:after="0" w:line="240" w:lineRule="auto"/>
        <w:ind w:left="720" w:hanging="720"/>
        <w:jc w:val="both"/>
        <w:rPr>
          <w:rFonts w:ascii="Times New Roman" w:eastAsia="Times New Roman" w:hAnsi="Times New Roman" w:cs="Times New Roman"/>
          <w:sz w:val="24"/>
          <w:szCs w:val="24"/>
          <w:lang w:eastAsia="en-GB"/>
        </w:rPr>
      </w:pPr>
      <w:r w:rsidRPr="00AD3D90">
        <w:rPr>
          <w:rFonts w:ascii="Times New Roman" w:hAnsi="Times New Roman"/>
          <w:sz w:val="24"/>
          <w:szCs w:val="24"/>
          <w:lang w:val="nb-NO"/>
        </w:rPr>
        <w:t>Usman O.,</w:t>
      </w:r>
      <w:r w:rsidRPr="00AD3D90">
        <w:rPr>
          <w:rFonts w:ascii="Times New Roman" w:hAnsi="Times New Roman"/>
          <w:sz w:val="24"/>
          <w:szCs w:val="24"/>
          <w:lang w:val="nb-NO" w:eastAsia="en-GB"/>
        </w:rPr>
        <w:t xml:space="preserve"> Elsalih, O., &amp; Koshadh, O. </w:t>
      </w:r>
      <w:r w:rsidRPr="00AD3D90">
        <w:rPr>
          <w:rFonts w:ascii="Times New Roman" w:hAnsi="Times New Roman"/>
          <w:sz w:val="24"/>
          <w:szCs w:val="24"/>
          <w:lang w:val="nb-NO"/>
        </w:rPr>
        <w:t xml:space="preserve">(2020). </w:t>
      </w:r>
      <w:r w:rsidRPr="009253E7">
        <w:rPr>
          <w:rFonts w:ascii="Times New Roman" w:hAnsi="Times New Roman"/>
          <w:sz w:val="24"/>
          <w:szCs w:val="24"/>
          <w:lang w:eastAsia="en-GB"/>
        </w:rPr>
        <w:t xml:space="preserve">Environmental performance and tourism development in EU-28 Countries: the role of institutional quality, </w:t>
      </w:r>
      <w:r w:rsidRPr="009253E7">
        <w:rPr>
          <w:rFonts w:ascii="Times New Roman" w:hAnsi="Times New Roman"/>
          <w:i/>
          <w:iCs/>
          <w:sz w:val="24"/>
          <w:szCs w:val="24"/>
          <w:lang w:eastAsia="en-GB"/>
        </w:rPr>
        <w:t xml:space="preserve">Current Issues in Tourism, </w:t>
      </w:r>
      <w:r w:rsidRPr="009253E7">
        <w:rPr>
          <w:rFonts w:ascii="Times New Roman" w:hAnsi="Times New Roman"/>
          <w:sz w:val="24"/>
          <w:szCs w:val="24"/>
          <w:shd w:val="clear" w:color="auto" w:fill="FFFFFF"/>
        </w:rPr>
        <w:t>23 (17), 2103-2108</w:t>
      </w:r>
    </w:p>
    <w:p w14:paraId="3D1A2F80" w14:textId="77777777" w:rsidR="007F18D1" w:rsidRDefault="007F18D1" w:rsidP="00CC0A59">
      <w:pPr>
        <w:spacing w:after="0" w:line="240" w:lineRule="auto"/>
        <w:rPr>
          <w:rFonts w:ascii="Times New Roman" w:hAnsi="Times New Roman" w:cs="Times New Roman"/>
          <w:sz w:val="24"/>
          <w:szCs w:val="24"/>
        </w:rPr>
      </w:pPr>
    </w:p>
    <w:p w14:paraId="309D16B2" w14:textId="77777777" w:rsidR="007F18D1" w:rsidRDefault="007F18D1" w:rsidP="00BE06F5">
      <w:pPr>
        <w:spacing w:line="240" w:lineRule="auto"/>
        <w:rPr>
          <w:rFonts w:ascii="Times New Roman" w:hAnsi="Times New Roman" w:cs="Times New Roman"/>
          <w:sz w:val="24"/>
          <w:szCs w:val="24"/>
        </w:rPr>
        <w:sectPr w:rsidR="007F18D1">
          <w:footerReference w:type="default" r:id="rId57"/>
          <w:pgSz w:w="11906" w:h="16838"/>
          <w:pgMar w:top="1440" w:right="1440" w:bottom="1440" w:left="1440" w:header="708" w:footer="708" w:gutter="0"/>
          <w:cols w:space="708"/>
          <w:docGrid w:linePitch="360"/>
        </w:sectPr>
      </w:pPr>
    </w:p>
    <w:p w14:paraId="157C724C" w14:textId="77777777" w:rsidR="00BA3241" w:rsidRDefault="00BA3241" w:rsidP="00BE06F5">
      <w:pPr>
        <w:spacing w:line="240" w:lineRule="auto"/>
        <w:rPr>
          <w:rFonts w:ascii="Times New Roman" w:hAnsi="Times New Roman" w:cs="Times New Roman"/>
          <w:sz w:val="24"/>
          <w:szCs w:val="24"/>
        </w:rPr>
      </w:pPr>
    </w:p>
    <w:p w14:paraId="623999F6" w14:textId="77777777" w:rsidR="007F18D1" w:rsidRPr="009D475F" w:rsidRDefault="00DF7D72" w:rsidP="00BE06F5">
      <w:pPr>
        <w:spacing w:line="240" w:lineRule="auto"/>
        <w:rPr>
          <w:rFonts w:ascii="Times New Roman" w:hAnsi="Times New Roman" w:cs="Times New Roman"/>
          <w:sz w:val="24"/>
          <w:szCs w:val="24"/>
        </w:rPr>
      </w:pPr>
      <w:r w:rsidRPr="009D475F">
        <w:rPr>
          <w:rFonts w:ascii="Times New Roman" w:hAnsi="Times New Roman" w:cs="Times New Roman"/>
          <w:sz w:val="24"/>
          <w:szCs w:val="24"/>
        </w:rPr>
        <w:t>Table 1: Summary of Descriptive Statistics</w:t>
      </w:r>
    </w:p>
    <w:tbl>
      <w:tblPr>
        <w:tblW w:w="13768" w:type="dxa"/>
        <w:tblInd w:w="137" w:type="dxa"/>
        <w:tblLook w:val="04A0" w:firstRow="1" w:lastRow="0" w:firstColumn="1" w:lastColumn="0" w:noHBand="0" w:noVBand="1"/>
      </w:tblPr>
      <w:tblGrid>
        <w:gridCol w:w="1271"/>
        <w:gridCol w:w="1116"/>
        <w:gridCol w:w="1116"/>
        <w:gridCol w:w="1033"/>
        <w:gridCol w:w="1134"/>
        <w:gridCol w:w="1342"/>
        <w:gridCol w:w="1163"/>
        <w:gridCol w:w="1116"/>
        <w:gridCol w:w="1116"/>
        <w:gridCol w:w="1283"/>
        <w:gridCol w:w="1116"/>
        <w:gridCol w:w="962"/>
      </w:tblGrid>
      <w:tr w:rsidR="00AA47AF" w14:paraId="0AECF432" w14:textId="77777777" w:rsidTr="00071AA2">
        <w:trPr>
          <w:trHeight w:val="298"/>
        </w:trPr>
        <w:tc>
          <w:tcPr>
            <w:tcW w:w="1271" w:type="dxa"/>
            <w:tcBorders>
              <w:top w:val="single" w:sz="4" w:space="0" w:color="auto"/>
              <w:bottom w:val="single" w:sz="4" w:space="0" w:color="auto"/>
            </w:tcBorders>
            <w:shd w:val="clear" w:color="auto" w:fill="auto"/>
            <w:noWrap/>
            <w:vAlign w:val="bottom"/>
            <w:hideMark/>
          </w:tcPr>
          <w:p w14:paraId="56D44FBA" w14:textId="77777777" w:rsidR="007F18D1" w:rsidRPr="008C2155" w:rsidRDefault="007F18D1" w:rsidP="00BE06F5">
            <w:pPr>
              <w:spacing w:after="0" w:line="240" w:lineRule="auto"/>
              <w:rPr>
                <w:rFonts w:ascii="Times New Roman" w:eastAsia="Times New Roman" w:hAnsi="Times New Roman" w:cs="Times New Roman"/>
                <w:sz w:val="24"/>
                <w:szCs w:val="24"/>
                <w:lang w:eastAsia="en-GB"/>
              </w:rPr>
            </w:pPr>
          </w:p>
        </w:tc>
        <w:tc>
          <w:tcPr>
            <w:tcW w:w="1116" w:type="dxa"/>
            <w:tcBorders>
              <w:top w:val="single" w:sz="4" w:space="0" w:color="auto"/>
              <w:bottom w:val="single" w:sz="4" w:space="0" w:color="auto"/>
            </w:tcBorders>
            <w:shd w:val="clear" w:color="auto" w:fill="auto"/>
            <w:noWrap/>
            <w:vAlign w:val="bottom"/>
            <w:hideMark/>
          </w:tcPr>
          <w:p w14:paraId="2A0378D9"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Mean</w:t>
            </w:r>
          </w:p>
        </w:tc>
        <w:tc>
          <w:tcPr>
            <w:tcW w:w="1116" w:type="dxa"/>
            <w:tcBorders>
              <w:top w:val="single" w:sz="4" w:space="0" w:color="auto"/>
              <w:bottom w:val="single" w:sz="4" w:space="0" w:color="auto"/>
            </w:tcBorders>
            <w:shd w:val="clear" w:color="auto" w:fill="auto"/>
            <w:noWrap/>
            <w:vAlign w:val="bottom"/>
            <w:hideMark/>
          </w:tcPr>
          <w:p w14:paraId="623FF459"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Median</w:t>
            </w:r>
          </w:p>
        </w:tc>
        <w:tc>
          <w:tcPr>
            <w:tcW w:w="1033" w:type="dxa"/>
            <w:tcBorders>
              <w:top w:val="single" w:sz="4" w:space="0" w:color="auto"/>
              <w:bottom w:val="single" w:sz="4" w:space="0" w:color="auto"/>
            </w:tcBorders>
            <w:shd w:val="clear" w:color="auto" w:fill="auto"/>
            <w:noWrap/>
            <w:vAlign w:val="bottom"/>
            <w:hideMark/>
          </w:tcPr>
          <w:p w14:paraId="4A8DDA2A"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Maxi</w:t>
            </w:r>
          </w:p>
        </w:tc>
        <w:tc>
          <w:tcPr>
            <w:tcW w:w="1134" w:type="dxa"/>
            <w:tcBorders>
              <w:top w:val="single" w:sz="4" w:space="0" w:color="auto"/>
              <w:bottom w:val="single" w:sz="4" w:space="0" w:color="auto"/>
            </w:tcBorders>
            <w:shd w:val="clear" w:color="auto" w:fill="auto"/>
            <w:noWrap/>
            <w:vAlign w:val="bottom"/>
            <w:hideMark/>
          </w:tcPr>
          <w:p w14:paraId="3EF7634F"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Mini</w:t>
            </w:r>
          </w:p>
        </w:tc>
        <w:tc>
          <w:tcPr>
            <w:tcW w:w="1342" w:type="dxa"/>
            <w:tcBorders>
              <w:top w:val="single" w:sz="4" w:space="0" w:color="auto"/>
              <w:bottom w:val="single" w:sz="4" w:space="0" w:color="auto"/>
            </w:tcBorders>
            <w:shd w:val="clear" w:color="auto" w:fill="auto"/>
            <w:noWrap/>
            <w:vAlign w:val="bottom"/>
            <w:hideMark/>
          </w:tcPr>
          <w:p w14:paraId="33A9B6AD"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Std. Dev.</w:t>
            </w:r>
          </w:p>
        </w:tc>
        <w:tc>
          <w:tcPr>
            <w:tcW w:w="1163" w:type="dxa"/>
            <w:tcBorders>
              <w:top w:val="single" w:sz="4" w:space="0" w:color="auto"/>
              <w:bottom w:val="single" w:sz="4" w:space="0" w:color="auto"/>
            </w:tcBorders>
            <w:shd w:val="clear" w:color="auto" w:fill="auto"/>
            <w:noWrap/>
            <w:vAlign w:val="bottom"/>
            <w:hideMark/>
          </w:tcPr>
          <w:p w14:paraId="10D1D0AF"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Skewness</w:t>
            </w:r>
          </w:p>
        </w:tc>
        <w:tc>
          <w:tcPr>
            <w:tcW w:w="1116" w:type="dxa"/>
            <w:tcBorders>
              <w:top w:val="single" w:sz="4" w:space="0" w:color="auto"/>
              <w:bottom w:val="single" w:sz="4" w:space="0" w:color="auto"/>
            </w:tcBorders>
            <w:shd w:val="clear" w:color="auto" w:fill="auto"/>
            <w:noWrap/>
            <w:vAlign w:val="bottom"/>
            <w:hideMark/>
          </w:tcPr>
          <w:p w14:paraId="5C3F8823"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Kurtosis</w:t>
            </w:r>
          </w:p>
        </w:tc>
        <w:tc>
          <w:tcPr>
            <w:tcW w:w="1116" w:type="dxa"/>
            <w:tcBorders>
              <w:top w:val="single" w:sz="4" w:space="0" w:color="auto"/>
              <w:bottom w:val="single" w:sz="4" w:space="0" w:color="auto"/>
            </w:tcBorders>
            <w:shd w:val="clear" w:color="auto" w:fill="auto"/>
            <w:noWrap/>
            <w:vAlign w:val="bottom"/>
            <w:hideMark/>
          </w:tcPr>
          <w:p w14:paraId="0C569A42"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J-B Test</w:t>
            </w:r>
          </w:p>
        </w:tc>
        <w:tc>
          <w:tcPr>
            <w:tcW w:w="1283" w:type="dxa"/>
            <w:tcBorders>
              <w:top w:val="single" w:sz="4" w:space="0" w:color="auto"/>
              <w:bottom w:val="single" w:sz="4" w:space="0" w:color="auto"/>
            </w:tcBorders>
            <w:shd w:val="clear" w:color="auto" w:fill="auto"/>
            <w:noWrap/>
            <w:vAlign w:val="bottom"/>
            <w:hideMark/>
          </w:tcPr>
          <w:p w14:paraId="71688CE5"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Prob.</w:t>
            </w:r>
          </w:p>
        </w:tc>
        <w:tc>
          <w:tcPr>
            <w:tcW w:w="1116" w:type="dxa"/>
            <w:tcBorders>
              <w:top w:val="single" w:sz="4" w:space="0" w:color="auto"/>
              <w:bottom w:val="single" w:sz="4" w:space="0" w:color="auto"/>
            </w:tcBorders>
            <w:shd w:val="clear" w:color="auto" w:fill="auto"/>
            <w:noWrap/>
            <w:vAlign w:val="bottom"/>
            <w:hideMark/>
          </w:tcPr>
          <w:p w14:paraId="52F232DD"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Sum</w:t>
            </w:r>
          </w:p>
        </w:tc>
        <w:tc>
          <w:tcPr>
            <w:tcW w:w="962" w:type="dxa"/>
            <w:tcBorders>
              <w:top w:val="single" w:sz="4" w:space="0" w:color="auto"/>
              <w:bottom w:val="single" w:sz="4" w:space="0" w:color="auto"/>
            </w:tcBorders>
            <w:shd w:val="clear" w:color="auto" w:fill="auto"/>
            <w:noWrap/>
            <w:vAlign w:val="bottom"/>
            <w:hideMark/>
          </w:tcPr>
          <w:p w14:paraId="309623EC"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Obs.</w:t>
            </w:r>
          </w:p>
        </w:tc>
      </w:tr>
      <w:tr w:rsidR="00AA47AF" w14:paraId="1DCB6100" w14:textId="77777777" w:rsidTr="00071AA2">
        <w:trPr>
          <w:trHeight w:val="298"/>
        </w:trPr>
        <w:tc>
          <w:tcPr>
            <w:tcW w:w="1271" w:type="dxa"/>
            <w:tcBorders>
              <w:top w:val="single" w:sz="4" w:space="0" w:color="auto"/>
            </w:tcBorders>
            <w:shd w:val="clear" w:color="auto" w:fill="auto"/>
            <w:noWrap/>
            <w:vAlign w:val="bottom"/>
            <w:hideMark/>
          </w:tcPr>
          <w:p w14:paraId="3F60E560" w14:textId="77777777" w:rsidR="007F18D1" w:rsidRPr="008C2155" w:rsidRDefault="00DF7D72" w:rsidP="00BE06F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EP</w:t>
            </w:r>
          </w:p>
        </w:tc>
        <w:tc>
          <w:tcPr>
            <w:tcW w:w="1116" w:type="dxa"/>
            <w:tcBorders>
              <w:top w:val="single" w:sz="4" w:space="0" w:color="auto"/>
            </w:tcBorders>
            <w:shd w:val="clear" w:color="auto" w:fill="auto"/>
            <w:noWrap/>
            <w:vAlign w:val="bottom"/>
            <w:hideMark/>
          </w:tcPr>
          <w:p w14:paraId="034C6B18"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69.422</w:t>
            </w:r>
          </w:p>
        </w:tc>
        <w:tc>
          <w:tcPr>
            <w:tcW w:w="1116" w:type="dxa"/>
            <w:tcBorders>
              <w:top w:val="single" w:sz="4" w:space="0" w:color="auto"/>
            </w:tcBorders>
            <w:shd w:val="clear" w:color="auto" w:fill="auto"/>
            <w:noWrap/>
            <w:vAlign w:val="bottom"/>
            <w:hideMark/>
          </w:tcPr>
          <w:p w14:paraId="25B53BAE"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69.405</w:t>
            </w:r>
          </w:p>
        </w:tc>
        <w:tc>
          <w:tcPr>
            <w:tcW w:w="1033" w:type="dxa"/>
            <w:tcBorders>
              <w:top w:val="single" w:sz="4" w:space="0" w:color="auto"/>
            </w:tcBorders>
            <w:shd w:val="clear" w:color="auto" w:fill="auto"/>
            <w:noWrap/>
            <w:vAlign w:val="bottom"/>
            <w:hideMark/>
          </w:tcPr>
          <w:p w14:paraId="34BF5263"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84.73</w:t>
            </w:r>
          </w:p>
        </w:tc>
        <w:tc>
          <w:tcPr>
            <w:tcW w:w="1134" w:type="dxa"/>
            <w:tcBorders>
              <w:top w:val="single" w:sz="4" w:space="0" w:color="auto"/>
            </w:tcBorders>
            <w:shd w:val="clear" w:color="auto" w:fill="auto"/>
            <w:noWrap/>
            <w:vAlign w:val="bottom"/>
            <w:hideMark/>
          </w:tcPr>
          <w:p w14:paraId="2AC87815"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45.55</w:t>
            </w:r>
          </w:p>
        </w:tc>
        <w:tc>
          <w:tcPr>
            <w:tcW w:w="1342" w:type="dxa"/>
            <w:tcBorders>
              <w:top w:val="single" w:sz="4" w:space="0" w:color="auto"/>
            </w:tcBorders>
            <w:shd w:val="clear" w:color="auto" w:fill="auto"/>
            <w:noWrap/>
            <w:vAlign w:val="bottom"/>
            <w:hideMark/>
          </w:tcPr>
          <w:p w14:paraId="67B3887B"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7.9106</w:t>
            </w:r>
          </w:p>
        </w:tc>
        <w:tc>
          <w:tcPr>
            <w:tcW w:w="1163" w:type="dxa"/>
            <w:tcBorders>
              <w:top w:val="single" w:sz="4" w:space="0" w:color="auto"/>
            </w:tcBorders>
            <w:shd w:val="clear" w:color="auto" w:fill="auto"/>
            <w:noWrap/>
            <w:vAlign w:val="bottom"/>
            <w:hideMark/>
          </w:tcPr>
          <w:p w14:paraId="6D87C221"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-0.6004</w:t>
            </w:r>
          </w:p>
        </w:tc>
        <w:tc>
          <w:tcPr>
            <w:tcW w:w="1116" w:type="dxa"/>
            <w:tcBorders>
              <w:top w:val="single" w:sz="4" w:space="0" w:color="auto"/>
            </w:tcBorders>
            <w:shd w:val="clear" w:color="auto" w:fill="auto"/>
            <w:noWrap/>
            <w:vAlign w:val="bottom"/>
            <w:hideMark/>
          </w:tcPr>
          <w:p w14:paraId="0C2F57F7"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3.0692</w:t>
            </w:r>
          </w:p>
        </w:tc>
        <w:tc>
          <w:tcPr>
            <w:tcW w:w="1116" w:type="dxa"/>
            <w:tcBorders>
              <w:top w:val="single" w:sz="4" w:space="0" w:color="auto"/>
            </w:tcBorders>
            <w:shd w:val="clear" w:color="auto" w:fill="auto"/>
            <w:noWrap/>
            <w:vAlign w:val="bottom"/>
            <w:hideMark/>
          </w:tcPr>
          <w:p w14:paraId="0F4E4878"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30.381</w:t>
            </w:r>
          </w:p>
        </w:tc>
        <w:tc>
          <w:tcPr>
            <w:tcW w:w="1283" w:type="dxa"/>
            <w:tcBorders>
              <w:top w:val="single" w:sz="4" w:space="0" w:color="auto"/>
            </w:tcBorders>
            <w:shd w:val="clear" w:color="auto" w:fill="auto"/>
            <w:noWrap/>
            <w:vAlign w:val="bottom"/>
            <w:hideMark/>
          </w:tcPr>
          <w:p w14:paraId="493EDDBD"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0</w:t>
            </w:r>
            <w:r w:rsidRPr="009D475F">
              <w:rPr>
                <w:rFonts w:ascii="Times New Roman" w:eastAsia="Times New Roman" w:hAnsi="Times New Roman" w:cs="Times New Roman"/>
                <w:color w:val="000000"/>
                <w:sz w:val="24"/>
                <w:szCs w:val="24"/>
                <w:lang w:eastAsia="en-GB"/>
              </w:rPr>
              <w:t>.0000</w:t>
            </w:r>
          </w:p>
        </w:tc>
        <w:tc>
          <w:tcPr>
            <w:tcW w:w="1116" w:type="dxa"/>
            <w:tcBorders>
              <w:top w:val="single" w:sz="4" w:space="0" w:color="auto"/>
            </w:tcBorders>
            <w:shd w:val="clear" w:color="auto" w:fill="auto"/>
            <w:noWrap/>
            <w:vAlign w:val="bottom"/>
            <w:hideMark/>
          </w:tcPr>
          <w:p w14:paraId="0BCD73B4"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34988.7</w:t>
            </w:r>
          </w:p>
        </w:tc>
        <w:tc>
          <w:tcPr>
            <w:tcW w:w="962" w:type="dxa"/>
            <w:tcBorders>
              <w:top w:val="single" w:sz="4" w:space="0" w:color="auto"/>
            </w:tcBorders>
            <w:shd w:val="clear" w:color="auto" w:fill="auto"/>
            <w:noWrap/>
            <w:vAlign w:val="bottom"/>
            <w:hideMark/>
          </w:tcPr>
          <w:p w14:paraId="63DC8446"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504</w:t>
            </w:r>
          </w:p>
        </w:tc>
      </w:tr>
      <w:tr w:rsidR="00AA47AF" w14:paraId="01ADBA4A" w14:textId="77777777" w:rsidTr="00071AA2">
        <w:trPr>
          <w:trHeight w:val="298"/>
        </w:trPr>
        <w:tc>
          <w:tcPr>
            <w:tcW w:w="1271" w:type="dxa"/>
            <w:shd w:val="clear" w:color="auto" w:fill="auto"/>
            <w:noWrap/>
            <w:vAlign w:val="bottom"/>
            <w:hideMark/>
          </w:tcPr>
          <w:p w14:paraId="1E55023C" w14:textId="77777777" w:rsidR="007F18D1" w:rsidRPr="008C2155" w:rsidRDefault="00DF7D72" w:rsidP="00BE06F5">
            <w:pPr>
              <w:spacing w:after="0" w:line="240" w:lineRule="auto"/>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LNTRM</w:t>
            </w:r>
          </w:p>
        </w:tc>
        <w:tc>
          <w:tcPr>
            <w:tcW w:w="1116" w:type="dxa"/>
            <w:shd w:val="clear" w:color="auto" w:fill="auto"/>
            <w:noWrap/>
            <w:vAlign w:val="bottom"/>
            <w:hideMark/>
          </w:tcPr>
          <w:p w14:paraId="3E438B58"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22.688</w:t>
            </w:r>
          </w:p>
        </w:tc>
        <w:tc>
          <w:tcPr>
            <w:tcW w:w="1116" w:type="dxa"/>
            <w:shd w:val="clear" w:color="auto" w:fill="auto"/>
            <w:noWrap/>
            <w:vAlign w:val="bottom"/>
            <w:hideMark/>
          </w:tcPr>
          <w:p w14:paraId="404576C0"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22.754</w:t>
            </w:r>
          </w:p>
        </w:tc>
        <w:tc>
          <w:tcPr>
            <w:tcW w:w="1033" w:type="dxa"/>
            <w:shd w:val="clear" w:color="auto" w:fill="auto"/>
            <w:noWrap/>
            <w:vAlign w:val="bottom"/>
            <w:hideMark/>
          </w:tcPr>
          <w:p w14:paraId="43E97E0A"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25.123</w:t>
            </w:r>
          </w:p>
        </w:tc>
        <w:tc>
          <w:tcPr>
            <w:tcW w:w="1134" w:type="dxa"/>
            <w:shd w:val="clear" w:color="auto" w:fill="auto"/>
            <w:noWrap/>
            <w:vAlign w:val="bottom"/>
            <w:hideMark/>
          </w:tcPr>
          <w:p w14:paraId="6F951AC0"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18.897</w:t>
            </w:r>
          </w:p>
        </w:tc>
        <w:tc>
          <w:tcPr>
            <w:tcW w:w="1342" w:type="dxa"/>
            <w:shd w:val="clear" w:color="auto" w:fill="auto"/>
            <w:noWrap/>
            <w:vAlign w:val="bottom"/>
            <w:hideMark/>
          </w:tcPr>
          <w:p w14:paraId="46301EC7"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1.2889</w:t>
            </w:r>
          </w:p>
        </w:tc>
        <w:tc>
          <w:tcPr>
            <w:tcW w:w="1163" w:type="dxa"/>
            <w:shd w:val="clear" w:color="auto" w:fill="auto"/>
            <w:noWrap/>
            <w:vAlign w:val="bottom"/>
            <w:hideMark/>
          </w:tcPr>
          <w:p w14:paraId="3F1988D7"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-0.0914</w:t>
            </w:r>
          </w:p>
        </w:tc>
        <w:tc>
          <w:tcPr>
            <w:tcW w:w="1116" w:type="dxa"/>
            <w:shd w:val="clear" w:color="auto" w:fill="auto"/>
            <w:noWrap/>
            <w:vAlign w:val="bottom"/>
            <w:hideMark/>
          </w:tcPr>
          <w:p w14:paraId="51A3840F"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2.4185</w:t>
            </w:r>
          </w:p>
        </w:tc>
        <w:tc>
          <w:tcPr>
            <w:tcW w:w="1116" w:type="dxa"/>
            <w:shd w:val="clear" w:color="auto" w:fill="auto"/>
            <w:noWrap/>
            <w:vAlign w:val="bottom"/>
            <w:hideMark/>
          </w:tcPr>
          <w:p w14:paraId="090E1921"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7.8030</w:t>
            </w:r>
          </w:p>
        </w:tc>
        <w:tc>
          <w:tcPr>
            <w:tcW w:w="1283" w:type="dxa"/>
            <w:shd w:val="clear" w:color="auto" w:fill="auto"/>
            <w:noWrap/>
            <w:vAlign w:val="bottom"/>
            <w:hideMark/>
          </w:tcPr>
          <w:p w14:paraId="7CE6CD1E"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0.0202</w:t>
            </w:r>
          </w:p>
        </w:tc>
        <w:tc>
          <w:tcPr>
            <w:tcW w:w="1116" w:type="dxa"/>
            <w:shd w:val="clear" w:color="auto" w:fill="auto"/>
            <w:noWrap/>
            <w:vAlign w:val="bottom"/>
            <w:hideMark/>
          </w:tcPr>
          <w:p w14:paraId="3D57F8B3"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11434.6</w:t>
            </w:r>
          </w:p>
        </w:tc>
        <w:tc>
          <w:tcPr>
            <w:tcW w:w="962" w:type="dxa"/>
            <w:shd w:val="clear" w:color="auto" w:fill="auto"/>
            <w:noWrap/>
            <w:vAlign w:val="bottom"/>
            <w:hideMark/>
          </w:tcPr>
          <w:p w14:paraId="72ECCE28"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504</w:t>
            </w:r>
          </w:p>
        </w:tc>
      </w:tr>
      <w:tr w:rsidR="00AA47AF" w14:paraId="286164BA" w14:textId="77777777" w:rsidTr="00071AA2">
        <w:trPr>
          <w:trHeight w:val="298"/>
        </w:trPr>
        <w:tc>
          <w:tcPr>
            <w:tcW w:w="1271" w:type="dxa"/>
            <w:shd w:val="clear" w:color="auto" w:fill="auto"/>
            <w:noWrap/>
            <w:vAlign w:val="bottom"/>
            <w:hideMark/>
          </w:tcPr>
          <w:p w14:paraId="00D04FC6" w14:textId="77777777" w:rsidR="007F18D1" w:rsidRPr="008C2155" w:rsidRDefault="00DF7D72" w:rsidP="00BE06F5">
            <w:pPr>
              <w:spacing w:after="0" w:line="240" w:lineRule="auto"/>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LNETAX</w:t>
            </w:r>
          </w:p>
        </w:tc>
        <w:tc>
          <w:tcPr>
            <w:tcW w:w="1116" w:type="dxa"/>
            <w:shd w:val="clear" w:color="auto" w:fill="auto"/>
            <w:noWrap/>
            <w:vAlign w:val="bottom"/>
            <w:hideMark/>
          </w:tcPr>
          <w:p w14:paraId="52911CD2"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8.3866</w:t>
            </w:r>
          </w:p>
        </w:tc>
        <w:tc>
          <w:tcPr>
            <w:tcW w:w="1116" w:type="dxa"/>
            <w:shd w:val="clear" w:color="auto" w:fill="auto"/>
            <w:noWrap/>
            <w:vAlign w:val="bottom"/>
            <w:hideMark/>
          </w:tcPr>
          <w:p w14:paraId="240B967A"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8.5121</w:t>
            </w:r>
          </w:p>
        </w:tc>
        <w:tc>
          <w:tcPr>
            <w:tcW w:w="1033" w:type="dxa"/>
            <w:shd w:val="clear" w:color="auto" w:fill="auto"/>
            <w:noWrap/>
            <w:vAlign w:val="bottom"/>
            <w:hideMark/>
          </w:tcPr>
          <w:p w14:paraId="6B988628"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11.064</w:t>
            </w:r>
          </w:p>
        </w:tc>
        <w:tc>
          <w:tcPr>
            <w:tcW w:w="1134" w:type="dxa"/>
            <w:shd w:val="clear" w:color="auto" w:fill="auto"/>
            <w:noWrap/>
            <w:vAlign w:val="bottom"/>
            <w:hideMark/>
          </w:tcPr>
          <w:p w14:paraId="555FA371"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4.9265</w:t>
            </w:r>
          </w:p>
        </w:tc>
        <w:tc>
          <w:tcPr>
            <w:tcW w:w="1342" w:type="dxa"/>
            <w:shd w:val="clear" w:color="auto" w:fill="auto"/>
            <w:noWrap/>
            <w:vAlign w:val="bottom"/>
            <w:hideMark/>
          </w:tcPr>
          <w:p w14:paraId="510E0A14"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1.5436</w:t>
            </w:r>
          </w:p>
        </w:tc>
        <w:tc>
          <w:tcPr>
            <w:tcW w:w="1163" w:type="dxa"/>
            <w:shd w:val="clear" w:color="auto" w:fill="auto"/>
            <w:noWrap/>
            <w:vAlign w:val="bottom"/>
            <w:hideMark/>
          </w:tcPr>
          <w:p w14:paraId="22A58DEA"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-0.1859</w:t>
            </w:r>
          </w:p>
        </w:tc>
        <w:tc>
          <w:tcPr>
            <w:tcW w:w="1116" w:type="dxa"/>
            <w:shd w:val="clear" w:color="auto" w:fill="auto"/>
            <w:noWrap/>
            <w:vAlign w:val="bottom"/>
            <w:hideMark/>
          </w:tcPr>
          <w:p w14:paraId="44420C05"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2.1747</w:t>
            </w:r>
          </w:p>
        </w:tc>
        <w:tc>
          <w:tcPr>
            <w:tcW w:w="1116" w:type="dxa"/>
            <w:shd w:val="clear" w:color="auto" w:fill="auto"/>
            <w:noWrap/>
            <w:vAlign w:val="bottom"/>
            <w:hideMark/>
          </w:tcPr>
          <w:p w14:paraId="34D3F6A1"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17.205</w:t>
            </w:r>
          </w:p>
        </w:tc>
        <w:tc>
          <w:tcPr>
            <w:tcW w:w="1283" w:type="dxa"/>
            <w:shd w:val="clear" w:color="auto" w:fill="auto"/>
            <w:noWrap/>
            <w:vAlign w:val="bottom"/>
            <w:hideMark/>
          </w:tcPr>
          <w:p w14:paraId="42A95E06"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0.0002</w:t>
            </w:r>
          </w:p>
        </w:tc>
        <w:tc>
          <w:tcPr>
            <w:tcW w:w="1116" w:type="dxa"/>
            <w:shd w:val="clear" w:color="auto" w:fill="auto"/>
            <w:noWrap/>
            <w:vAlign w:val="bottom"/>
            <w:hideMark/>
          </w:tcPr>
          <w:p w14:paraId="7688D65B"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4226.86</w:t>
            </w:r>
          </w:p>
        </w:tc>
        <w:tc>
          <w:tcPr>
            <w:tcW w:w="962" w:type="dxa"/>
            <w:shd w:val="clear" w:color="auto" w:fill="auto"/>
            <w:noWrap/>
            <w:vAlign w:val="bottom"/>
            <w:hideMark/>
          </w:tcPr>
          <w:p w14:paraId="7A945A84"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504</w:t>
            </w:r>
          </w:p>
        </w:tc>
      </w:tr>
      <w:tr w:rsidR="00AA47AF" w14:paraId="6DACBC4D" w14:textId="77777777" w:rsidTr="00071AA2">
        <w:trPr>
          <w:trHeight w:val="298"/>
        </w:trPr>
        <w:tc>
          <w:tcPr>
            <w:tcW w:w="1271" w:type="dxa"/>
            <w:shd w:val="clear" w:color="auto" w:fill="auto"/>
            <w:noWrap/>
            <w:vAlign w:val="bottom"/>
            <w:hideMark/>
          </w:tcPr>
          <w:p w14:paraId="3B620744" w14:textId="77777777" w:rsidR="007F18D1" w:rsidRPr="008C2155" w:rsidRDefault="00DF7D72" w:rsidP="00BE06F5">
            <w:pPr>
              <w:spacing w:after="0" w:line="240" w:lineRule="auto"/>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LNGDP</w:t>
            </w:r>
          </w:p>
        </w:tc>
        <w:tc>
          <w:tcPr>
            <w:tcW w:w="1116" w:type="dxa"/>
            <w:shd w:val="clear" w:color="auto" w:fill="auto"/>
            <w:noWrap/>
            <w:vAlign w:val="bottom"/>
            <w:hideMark/>
          </w:tcPr>
          <w:p w14:paraId="3ABD916C"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10.085</w:t>
            </w:r>
          </w:p>
        </w:tc>
        <w:tc>
          <w:tcPr>
            <w:tcW w:w="1116" w:type="dxa"/>
            <w:shd w:val="clear" w:color="auto" w:fill="auto"/>
            <w:noWrap/>
            <w:vAlign w:val="bottom"/>
            <w:hideMark/>
          </w:tcPr>
          <w:p w14:paraId="1580AE49"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10.092</w:t>
            </w:r>
          </w:p>
        </w:tc>
        <w:tc>
          <w:tcPr>
            <w:tcW w:w="1033" w:type="dxa"/>
            <w:shd w:val="clear" w:color="auto" w:fill="auto"/>
            <w:noWrap/>
            <w:vAlign w:val="bottom"/>
            <w:hideMark/>
          </w:tcPr>
          <w:p w14:paraId="04AAD607"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11.63</w:t>
            </w:r>
          </w:p>
        </w:tc>
        <w:tc>
          <w:tcPr>
            <w:tcW w:w="1134" w:type="dxa"/>
            <w:shd w:val="clear" w:color="auto" w:fill="auto"/>
            <w:noWrap/>
            <w:vAlign w:val="bottom"/>
            <w:hideMark/>
          </w:tcPr>
          <w:p w14:paraId="28E1842A"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8.3571</w:t>
            </w:r>
          </w:p>
        </w:tc>
        <w:tc>
          <w:tcPr>
            <w:tcW w:w="1342" w:type="dxa"/>
            <w:shd w:val="clear" w:color="auto" w:fill="auto"/>
            <w:noWrap/>
            <w:vAlign w:val="bottom"/>
            <w:hideMark/>
          </w:tcPr>
          <w:p w14:paraId="6E980CE2"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0.6776</w:t>
            </w:r>
          </w:p>
        </w:tc>
        <w:tc>
          <w:tcPr>
            <w:tcW w:w="1163" w:type="dxa"/>
            <w:shd w:val="clear" w:color="auto" w:fill="auto"/>
            <w:noWrap/>
            <w:vAlign w:val="bottom"/>
            <w:hideMark/>
          </w:tcPr>
          <w:p w14:paraId="5A331AD5"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-0.0933</w:t>
            </w:r>
          </w:p>
        </w:tc>
        <w:tc>
          <w:tcPr>
            <w:tcW w:w="1116" w:type="dxa"/>
            <w:shd w:val="clear" w:color="auto" w:fill="auto"/>
            <w:noWrap/>
            <w:vAlign w:val="bottom"/>
            <w:hideMark/>
          </w:tcPr>
          <w:p w14:paraId="75994A66"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2.4259</w:t>
            </w:r>
          </w:p>
        </w:tc>
        <w:tc>
          <w:tcPr>
            <w:tcW w:w="1116" w:type="dxa"/>
            <w:shd w:val="clear" w:color="auto" w:fill="auto"/>
            <w:noWrap/>
            <w:vAlign w:val="bottom"/>
            <w:hideMark/>
          </w:tcPr>
          <w:p w14:paraId="14C80FE9"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7.6519</w:t>
            </w:r>
          </w:p>
        </w:tc>
        <w:tc>
          <w:tcPr>
            <w:tcW w:w="1283" w:type="dxa"/>
            <w:shd w:val="clear" w:color="auto" w:fill="auto"/>
            <w:noWrap/>
            <w:vAlign w:val="bottom"/>
            <w:hideMark/>
          </w:tcPr>
          <w:p w14:paraId="5A172400"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0.0218</w:t>
            </w:r>
          </w:p>
        </w:tc>
        <w:tc>
          <w:tcPr>
            <w:tcW w:w="1116" w:type="dxa"/>
            <w:shd w:val="clear" w:color="auto" w:fill="auto"/>
            <w:noWrap/>
            <w:vAlign w:val="bottom"/>
            <w:hideMark/>
          </w:tcPr>
          <w:p w14:paraId="44CD0358"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5082.75</w:t>
            </w:r>
          </w:p>
        </w:tc>
        <w:tc>
          <w:tcPr>
            <w:tcW w:w="962" w:type="dxa"/>
            <w:shd w:val="clear" w:color="auto" w:fill="auto"/>
            <w:noWrap/>
            <w:vAlign w:val="bottom"/>
            <w:hideMark/>
          </w:tcPr>
          <w:p w14:paraId="08061DAA"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504</w:t>
            </w:r>
          </w:p>
        </w:tc>
      </w:tr>
      <w:tr w:rsidR="00AA47AF" w14:paraId="1EDA6D85" w14:textId="77777777" w:rsidTr="00071AA2">
        <w:trPr>
          <w:trHeight w:val="298"/>
        </w:trPr>
        <w:tc>
          <w:tcPr>
            <w:tcW w:w="1271" w:type="dxa"/>
            <w:shd w:val="clear" w:color="auto" w:fill="auto"/>
            <w:noWrap/>
            <w:vAlign w:val="bottom"/>
            <w:hideMark/>
          </w:tcPr>
          <w:p w14:paraId="16C0C2FF" w14:textId="77777777" w:rsidR="007F18D1" w:rsidRPr="008C2155" w:rsidRDefault="00DF7D72" w:rsidP="00BE06F5">
            <w:pPr>
              <w:spacing w:after="0" w:line="240" w:lineRule="auto"/>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R</w:t>
            </w:r>
            <w:r w:rsidR="00BA3241">
              <w:rPr>
                <w:rFonts w:ascii="Times New Roman" w:eastAsia="Times New Roman" w:hAnsi="Times New Roman" w:cs="Times New Roman"/>
                <w:color w:val="000000"/>
                <w:sz w:val="24"/>
                <w:szCs w:val="24"/>
                <w:lang w:eastAsia="en-GB"/>
              </w:rPr>
              <w:t>&amp;</w:t>
            </w:r>
            <w:r w:rsidRPr="008C2155">
              <w:rPr>
                <w:rFonts w:ascii="Times New Roman" w:eastAsia="Times New Roman" w:hAnsi="Times New Roman" w:cs="Times New Roman"/>
                <w:color w:val="000000"/>
                <w:sz w:val="24"/>
                <w:szCs w:val="24"/>
                <w:lang w:eastAsia="en-GB"/>
              </w:rPr>
              <w:t>D</w:t>
            </w:r>
          </w:p>
        </w:tc>
        <w:tc>
          <w:tcPr>
            <w:tcW w:w="1116" w:type="dxa"/>
            <w:shd w:val="clear" w:color="auto" w:fill="auto"/>
            <w:noWrap/>
            <w:vAlign w:val="bottom"/>
            <w:hideMark/>
          </w:tcPr>
          <w:p w14:paraId="7C056F33"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1.4839</w:t>
            </w:r>
          </w:p>
        </w:tc>
        <w:tc>
          <w:tcPr>
            <w:tcW w:w="1116" w:type="dxa"/>
            <w:shd w:val="clear" w:color="auto" w:fill="auto"/>
            <w:noWrap/>
            <w:vAlign w:val="bottom"/>
            <w:hideMark/>
          </w:tcPr>
          <w:p w14:paraId="7787EB10"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1.2588</w:t>
            </w:r>
          </w:p>
        </w:tc>
        <w:tc>
          <w:tcPr>
            <w:tcW w:w="1033" w:type="dxa"/>
            <w:shd w:val="clear" w:color="auto" w:fill="auto"/>
            <w:noWrap/>
            <w:vAlign w:val="bottom"/>
            <w:hideMark/>
          </w:tcPr>
          <w:p w14:paraId="3451C89D"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3.7340</w:t>
            </w:r>
          </w:p>
        </w:tc>
        <w:tc>
          <w:tcPr>
            <w:tcW w:w="1134" w:type="dxa"/>
            <w:shd w:val="clear" w:color="auto" w:fill="auto"/>
            <w:noWrap/>
            <w:vAlign w:val="bottom"/>
            <w:hideMark/>
          </w:tcPr>
          <w:p w14:paraId="4089F5FE"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0.2374</w:t>
            </w:r>
          </w:p>
        </w:tc>
        <w:tc>
          <w:tcPr>
            <w:tcW w:w="1342" w:type="dxa"/>
            <w:shd w:val="clear" w:color="auto" w:fill="auto"/>
            <w:noWrap/>
            <w:vAlign w:val="bottom"/>
            <w:hideMark/>
          </w:tcPr>
          <w:p w14:paraId="07AEEBA4"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0.8764</w:t>
            </w:r>
          </w:p>
        </w:tc>
        <w:tc>
          <w:tcPr>
            <w:tcW w:w="1163" w:type="dxa"/>
            <w:shd w:val="clear" w:color="auto" w:fill="auto"/>
            <w:noWrap/>
            <w:vAlign w:val="bottom"/>
            <w:hideMark/>
          </w:tcPr>
          <w:p w14:paraId="5C92A84D"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0.7275</w:t>
            </w:r>
          </w:p>
        </w:tc>
        <w:tc>
          <w:tcPr>
            <w:tcW w:w="1116" w:type="dxa"/>
            <w:shd w:val="clear" w:color="auto" w:fill="auto"/>
            <w:noWrap/>
            <w:vAlign w:val="bottom"/>
            <w:hideMark/>
          </w:tcPr>
          <w:p w14:paraId="014F74E2"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2.5001</w:t>
            </w:r>
          </w:p>
        </w:tc>
        <w:tc>
          <w:tcPr>
            <w:tcW w:w="1116" w:type="dxa"/>
            <w:shd w:val="clear" w:color="auto" w:fill="auto"/>
            <w:noWrap/>
            <w:vAlign w:val="bottom"/>
            <w:hideMark/>
          </w:tcPr>
          <w:p w14:paraId="6043AC96"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49.707</w:t>
            </w:r>
          </w:p>
        </w:tc>
        <w:tc>
          <w:tcPr>
            <w:tcW w:w="1283" w:type="dxa"/>
            <w:shd w:val="clear" w:color="auto" w:fill="auto"/>
            <w:noWrap/>
            <w:vAlign w:val="bottom"/>
            <w:hideMark/>
          </w:tcPr>
          <w:p w14:paraId="1F40CFF6"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0</w:t>
            </w:r>
            <w:r w:rsidRPr="009D475F">
              <w:rPr>
                <w:rFonts w:ascii="Times New Roman" w:eastAsia="Times New Roman" w:hAnsi="Times New Roman" w:cs="Times New Roman"/>
                <w:color w:val="000000"/>
                <w:sz w:val="24"/>
                <w:szCs w:val="24"/>
                <w:lang w:eastAsia="en-GB"/>
              </w:rPr>
              <w:t>.0000</w:t>
            </w:r>
          </w:p>
        </w:tc>
        <w:tc>
          <w:tcPr>
            <w:tcW w:w="1116" w:type="dxa"/>
            <w:shd w:val="clear" w:color="auto" w:fill="auto"/>
            <w:noWrap/>
            <w:vAlign w:val="bottom"/>
            <w:hideMark/>
          </w:tcPr>
          <w:p w14:paraId="1476CAAA"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747.879</w:t>
            </w:r>
          </w:p>
        </w:tc>
        <w:tc>
          <w:tcPr>
            <w:tcW w:w="962" w:type="dxa"/>
            <w:shd w:val="clear" w:color="auto" w:fill="auto"/>
            <w:noWrap/>
            <w:vAlign w:val="bottom"/>
            <w:hideMark/>
          </w:tcPr>
          <w:p w14:paraId="2C499B60"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504</w:t>
            </w:r>
          </w:p>
        </w:tc>
      </w:tr>
      <w:tr w:rsidR="00AA47AF" w14:paraId="0C098A41" w14:textId="77777777" w:rsidTr="00071AA2">
        <w:trPr>
          <w:trHeight w:val="298"/>
        </w:trPr>
        <w:tc>
          <w:tcPr>
            <w:tcW w:w="1271" w:type="dxa"/>
            <w:tcBorders>
              <w:bottom w:val="single" w:sz="4" w:space="0" w:color="auto"/>
            </w:tcBorders>
            <w:shd w:val="clear" w:color="auto" w:fill="auto"/>
            <w:noWrap/>
            <w:vAlign w:val="bottom"/>
            <w:hideMark/>
          </w:tcPr>
          <w:p w14:paraId="3CA85145" w14:textId="77777777" w:rsidR="007F18D1" w:rsidRPr="008C2155" w:rsidRDefault="00DF7D72" w:rsidP="00BE06F5">
            <w:pPr>
              <w:spacing w:after="0" w:line="240" w:lineRule="auto"/>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REN</w:t>
            </w:r>
          </w:p>
        </w:tc>
        <w:tc>
          <w:tcPr>
            <w:tcW w:w="1116" w:type="dxa"/>
            <w:tcBorders>
              <w:bottom w:val="single" w:sz="4" w:space="0" w:color="auto"/>
            </w:tcBorders>
            <w:shd w:val="clear" w:color="auto" w:fill="auto"/>
            <w:noWrap/>
            <w:vAlign w:val="bottom"/>
            <w:hideMark/>
          </w:tcPr>
          <w:p w14:paraId="2042A89F"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16.775</w:t>
            </w:r>
          </w:p>
        </w:tc>
        <w:tc>
          <w:tcPr>
            <w:tcW w:w="1116" w:type="dxa"/>
            <w:tcBorders>
              <w:bottom w:val="single" w:sz="4" w:space="0" w:color="auto"/>
            </w:tcBorders>
            <w:shd w:val="clear" w:color="auto" w:fill="auto"/>
            <w:noWrap/>
            <w:vAlign w:val="bottom"/>
            <w:hideMark/>
          </w:tcPr>
          <w:p w14:paraId="384BAC76"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14.33</w:t>
            </w:r>
          </w:p>
        </w:tc>
        <w:tc>
          <w:tcPr>
            <w:tcW w:w="1033" w:type="dxa"/>
            <w:tcBorders>
              <w:bottom w:val="single" w:sz="4" w:space="0" w:color="auto"/>
            </w:tcBorders>
            <w:shd w:val="clear" w:color="auto" w:fill="auto"/>
            <w:noWrap/>
            <w:vAlign w:val="bottom"/>
            <w:hideMark/>
          </w:tcPr>
          <w:p w14:paraId="4A23F665"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52.88</w:t>
            </w:r>
          </w:p>
        </w:tc>
        <w:tc>
          <w:tcPr>
            <w:tcW w:w="1134" w:type="dxa"/>
            <w:tcBorders>
              <w:bottom w:val="single" w:sz="4" w:space="0" w:color="auto"/>
            </w:tcBorders>
            <w:shd w:val="clear" w:color="auto" w:fill="auto"/>
            <w:noWrap/>
            <w:vAlign w:val="bottom"/>
            <w:hideMark/>
          </w:tcPr>
          <w:p w14:paraId="60B05E20"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0.09</w:t>
            </w:r>
          </w:p>
        </w:tc>
        <w:tc>
          <w:tcPr>
            <w:tcW w:w="1342" w:type="dxa"/>
            <w:tcBorders>
              <w:bottom w:val="single" w:sz="4" w:space="0" w:color="auto"/>
            </w:tcBorders>
            <w:shd w:val="clear" w:color="auto" w:fill="auto"/>
            <w:noWrap/>
            <w:vAlign w:val="bottom"/>
            <w:hideMark/>
          </w:tcPr>
          <w:p w14:paraId="6917DEDE"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11.684</w:t>
            </w:r>
          </w:p>
        </w:tc>
        <w:tc>
          <w:tcPr>
            <w:tcW w:w="1163" w:type="dxa"/>
            <w:tcBorders>
              <w:bottom w:val="single" w:sz="4" w:space="0" w:color="auto"/>
            </w:tcBorders>
            <w:shd w:val="clear" w:color="auto" w:fill="auto"/>
            <w:noWrap/>
            <w:vAlign w:val="bottom"/>
            <w:hideMark/>
          </w:tcPr>
          <w:p w14:paraId="53CDE468"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0.8482</w:t>
            </w:r>
          </w:p>
        </w:tc>
        <w:tc>
          <w:tcPr>
            <w:tcW w:w="1116" w:type="dxa"/>
            <w:tcBorders>
              <w:bottom w:val="single" w:sz="4" w:space="0" w:color="auto"/>
            </w:tcBorders>
            <w:shd w:val="clear" w:color="auto" w:fill="auto"/>
            <w:noWrap/>
            <w:vAlign w:val="bottom"/>
            <w:hideMark/>
          </w:tcPr>
          <w:p w14:paraId="1CC049FE"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3.0536</w:t>
            </w:r>
          </w:p>
        </w:tc>
        <w:tc>
          <w:tcPr>
            <w:tcW w:w="1116" w:type="dxa"/>
            <w:tcBorders>
              <w:bottom w:val="single" w:sz="4" w:space="0" w:color="auto"/>
            </w:tcBorders>
            <w:shd w:val="clear" w:color="auto" w:fill="auto"/>
            <w:noWrap/>
            <w:vAlign w:val="bottom"/>
            <w:hideMark/>
          </w:tcPr>
          <w:p w14:paraId="17E35172"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9D475F">
              <w:rPr>
                <w:rFonts w:ascii="Times New Roman" w:eastAsia="Times New Roman" w:hAnsi="Times New Roman" w:cs="Times New Roman"/>
                <w:color w:val="000000"/>
                <w:sz w:val="24"/>
                <w:szCs w:val="24"/>
                <w:lang w:eastAsia="en-GB"/>
              </w:rPr>
              <w:t>60.489</w:t>
            </w:r>
          </w:p>
        </w:tc>
        <w:tc>
          <w:tcPr>
            <w:tcW w:w="1283" w:type="dxa"/>
            <w:tcBorders>
              <w:bottom w:val="single" w:sz="4" w:space="0" w:color="auto"/>
            </w:tcBorders>
            <w:shd w:val="clear" w:color="auto" w:fill="auto"/>
            <w:noWrap/>
            <w:vAlign w:val="bottom"/>
            <w:hideMark/>
          </w:tcPr>
          <w:p w14:paraId="06B8306D"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0</w:t>
            </w:r>
            <w:r w:rsidRPr="009D475F">
              <w:rPr>
                <w:rFonts w:ascii="Times New Roman" w:eastAsia="Times New Roman" w:hAnsi="Times New Roman" w:cs="Times New Roman"/>
                <w:color w:val="000000"/>
                <w:sz w:val="24"/>
                <w:szCs w:val="24"/>
                <w:lang w:eastAsia="en-GB"/>
              </w:rPr>
              <w:t>.0000</w:t>
            </w:r>
          </w:p>
        </w:tc>
        <w:tc>
          <w:tcPr>
            <w:tcW w:w="1116" w:type="dxa"/>
            <w:tcBorders>
              <w:bottom w:val="single" w:sz="4" w:space="0" w:color="auto"/>
            </w:tcBorders>
            <w:shd w:val="clear" w:color="auto" w:fill="auto"/>
            <w:noWrap/>
            <w:vAlign w:val="bottom"/>
            <w:hideMark/>
          </w:tcPr>
          <w:p w14:paraId="632666F0"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8454.76</w:t>
            </w:r>
          </w:p>
        </w:tc>
        <w:tc>
          <w:tcPr>
            <w:tcW w:w="962" w:type="dxa"/>
            <w:tcBorders>
              <w:bottom w:val="single" w:sz="4" w:space="0" w:color="auto"/>
            </w:tcBorders>
            <w:shd w:val="clear" w:color="auto" w:fill="auto"/>
            <w:noWrap/>
            <w:vAlign w:val="bottom"/>
            <w:hideMark/>
          </w:tcPr>
          <w:p w14:paraId="5347FEDF" w14:textId="77777777" w:rsidR="007F18D1" w:rsidRPr="008C2155" w:rsidRDefault="00DF7D72" w:rsidP="00BE06F5">
            <w:pPr>
              <w:spacing w:after="0" w:line="240" w:lineRule="auto"/>
              <w:jc w:val="center"/>
              <w:rPr>
                <w:rFonts w:ascii="Times New Roman" w:eastAsia="Times New Roman" w:hAnsi="Times New Roman" w:cs="Times New Roman"/>
                <w:color w:val="000000"/>
                <w:sz w:val="24"/>
                <w:szCs w:val="24"/>
                <w:lang w:eastAsia="en-GB"/>
              </w:rPr>
            </w:pPr>
            <w:r w:rsidRPr="008C2155">
              <w:rPr>
                <w:rFonts w:ascii="Times New Roman" w:eastAsia="Times New Roman" w:hAnsi="Times New Roman" w:cs="Times New Roman"/>
                <w:color w:val="000000"/>
                <w:sz w:val="24"/>
                <w:szCs w:val="24"/>
                <w:lang w:eastAsia="en-GB"/>
              </w:rPr>
              <w:t>504</w:t>
            </w:r>
          </w:p>
        </w:tc>
      </w:tr>
    </w:tbl>
    <w:p w14:paraId="65099FE6" w14:textId="77777777" w:rsidR="007F18D1" w:rsidRPr="000722C8" w:rsidRDefault="00DF7D72" w:rsidP="000722C8">
      <w:pPr>
        <w:spacing w:line="240" w:lineRule="auto"/>
        <w:ind w:left="720"/>
        <w:rPr>
          <w:rFonts w:ascii="Times New Roman" w:hAnsi="Times New Roman" w:cs="Times New Roman"/>
          <w:sz w:val="20"/>
          <w:szCs w:val="20"/>
        </w:rPr>
      </w:pPr>
      <w:r w:rsidRPr="000722C8">
        <w:rPr>
          <w:rFonts w:ascii="Times New Roman" w:hAnsi="Times New Roman" w:cs="Times New Roman"/>
          <w:b/>
          <w:sz w:val="20"/>
          <w:szCs w:val="20"/>
        </w:rPr>
        <w:t>Note:</w:t>
      </w:r>
      <w:r w:rsidRPr="000722C8">
        <w:rPr>
          <w:rFonts w:ascii="Times New Roman" w:hAnsi="Times New Roman" w:cs="Times New Roman"/>
          <w:sz w:val="20"/>
          <w:szCs w:val="20"/>
        </w:rPr>
        <w:t xml:space="preserve"> Maxi. represents maximum value; Mini means minimum value; </w:t>
      </w:r>
      <w:r w:rsidRPr="000722C8">
        <w:rPr>
          <w:rFonts w:ascii="Times New Roman" w:eastAsia="Times New Roman" w:hAnsi="Times New Roman" w:cs="Times New Roman"/>
          <w:color w:val="000000"/>
          <w:sz w:val="20"/>
          <w:szCs w:val="20"/>
          <w:lang w:eastAsia="en-GB"/>
        </w:rPr>
        <w:t xml:space="preserve">J-B Test represents Jarque-Bera Statistic, Prob. denotes probability, Obs. denotes observations. </w:t>
      </w:r>
    </w:p>
    <w:p w14:paraId="3D4834EA" w14:textId="77777777" w:rsidR="007F18D1" w:rsidRPr="009D475F" w:rsidRDefault="007F18D1" w:rsidP="00BE06F5">
      <w:pPr>
        <w:spacing w:line="240" w:lineRule="auto"/>
        <w:rPr>
          <w:sz w:val="24"/>
          <w:szCs w:val="24"/>
        </w:rPr>
      </w:pPr>
    </w:p>
    <w:p w14:paraId="1622C03D" w14:textId="77777777" w:rsidR="007F18D1" w:rsidRPr="009D475F" w:rsidRDefault="00DF7D72" w:rsidP="00BE06F5">
      <w:pPr>
        <w:spacing w:line="240" w:lineRule="auto"/>
        <w:rPr>
          <w:rFonts w:ascii="Times New Roman" w:hAnsi="Times New Roman" w:cs="Times New Roman"/>
          <w:sz w:val="24"/>
          <w:szCs w:val="24"/>
        </w:rPr>
      </w:pPr>
      <w:r w:rsidRPr="009D475F">
        <w:rPr>
          <w:sz w:val="24"/>
          <w:szCs w:val="24"/>
        </w:rPr>
        <w:tab/>
      </w:r>
      <w:r w:rsidRPr="009D475F">
        <w:rPr>
          <w:rFonts w:ascii="Times New Roman" w:hAnsi="Times New Roman" w:cs="Times New Roman"/>
          <w:sz w:val="24"/>
          <w:szCs w:val="24"/>
        </w:rPr>
        <w:t xml:space="preserve">Table 2: Correction Matrix </w:t>
      </w:r>
    </w:p>
    <w:tbl>
      <w:tblPr>
        <w:tblW w:w="0" w:type="auto"/>
        <w:tblInd w:w="279" w:type="dxa"/>
        <w:tblLayout w:type="fixed"/>
        <w:tblCellMar>
          <w:left w:w="0" w:type="dxa"/>
          <w:right w:w="0" w:type="dxa"/>
        </w:tblCellMar>
        <w:tblLook w:val="0000" w:firstRow="0" w:lastRow="0" w:firstColumn="0" w:lastColumn="0" w:noHBand="0" w:noVBand="0"/>
      </w:tblPr>
      <w:tblGrid>
        <w:gridCol w:w="1807"/>
        <w:gridCol w:w="1595"/>
        <w:gridCol w:w="1417"/>
        <w:gridCol w:w="1418"/>
        <w:gridCol w:w="1417"/>
        <w:gridCol w:w="1418"/>
        <w:gridCol w:w="1417"/>
      </w:tblGrid>
      <w:tr w:rsidR="00AA47AF" w14:paraId="60C79F8F" w14:textId="77777777" w:rsidTr="00071AA2">
        <w:trPr>
          <w:trHeight w:val="225"/>
        </w:trPr>
        <w:tc>
          <w:tcPr>
            <w:tcW w:w="1807" w:type="dxa"/>
            <w:tcBorders>
              <w:top w:val="single" w:sz="4" w:space="0" w:color="auto"/>
              <w:bottom w:val="single" w:sz="4" w:space="0" w:color="auto"/>
            </w:tcBorders>
            <w:vAlign w:val="bottom"/>
          </w:tcPr>
          <w:p w14:paraId="4E35A5B9" w14:textId="77777777" w:rsidR="007F18D1" w:rsidRPr="009D475F" w:rsidRDefault="007F18D1" w:rsidP="00BE06F5">
            <w:pPr>
              <w:autoSpaceDE w:val="0"/>
              <w:autoSpaceDN w:val="0"/>
              <w:adjustRightInd w:val="0"/>
              <w:spacing w:after="0" w:line="240" w:lineRule="auto"/>
              <w:rPr>
                <w:rFonts w:ascii="Times New Roman" w:hAnsi="Times New Roman" w:cs="Times New Roman"/>
                <w:color w:val="000000"/>
                <w:sz w:val="24"/>
                <w:szCs w:val="24"/>
              </w:rPr>
            </w:pPr>
          </w:p>
        </w:tc>
        <w:tc>
          <w:tcPr>
            <w:tcW w:w="1595" w:type="dxa"/>
            <w:tcBorders>
              <w:top w:val="single" w:sz="4" w:space="0" w:color="auto"/>
              <w:bottom w:val="single" w:sz="4" w:space="0" w:color="auto"/>
            </w:tcBorders>
            <w:vAlign w:val="bottom"/>
          </w:tcPr>
          <w:p w14:paraId="7B238192"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EP</w:t>
            </w:r>
          </w:p>
        </w:tc>
        <w:tc>
          <w:tcPr>
            <w:tcW w:w="1417" w:type="dxa"/>
            <w:tcBorders>
              <w:top w:val="single" w:sz="4" w:space="0" w:color="auto"/>
              <w:bottom w:val="single" w:sz="4" w:space="0" w:color="auto"/>
            </w:tcBorders>
            <w:vAlign w:val="bottom"/>
          </w:tcPr>
          <w:p w14:paraId="1C2EB64D"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sidRPr="009D475F">
              <w:rPr>
                <w:rFonts w:ascii="Times New Roman" w:hAnsi="Times New Roman" w:cs="Times New Roman"/>
                <w:color w:val="000000"/>
                <w:sz w:val="24"/>
                <w:szCs w:val="24"/>
              </w:rPr>
              <w:t>LNTRM</w:t>
            </w:r>
          </w:p>
        </w:tc>
        <w:tc>
          <w:tcPr>
            <w:tcW w:w="1418" w:type="dxa"/>
            <w:tcBorders>
              <w:top w:val="single" w:sz="4" w:space="0" w:color="auto"/>
              <w:bottom w:val="single" w:sz="4" w:space="0" w:color="auto"/>
            </w:tcBorders>
            <w:vAlign w:val="bottom"/>
          </w:tcPr>
          <w:p w14:paraId="47146FFB"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sidRPr="009D475F">
              <w:rPr>
                <w:rFonts w:ascii="Times New Roman" w:hAnsi="Times New Roman" w:cs="Times New Roman"/>
                <w:color w:val="000000"/>
                <w:sz w:val="24"/>
                <w:szCs w:val="24"/>
              </w:rPr>
              <w:t>LNETAX</w:t>
            </w:r>
          </w:p>
        </w:tc>
        <w:tc>
          <w:tcPr>
            <w:tcW w:w="1417" w:type="dxa"/>
            <w:tcBorders>
              <w:top w:val="single" w:sz="4" w:space="0" w:color="auto"/>
              <w:bottom w:val="single" w:sz="4" w:space="0" w:color="auto"/>
            </w:tcBorders>
            <w:vAlign w:val="bottom"/>
          </w:tcPr>
          <w:p w14:paraId="7618B903"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sidRPr="009D475F">
              <w:rPr>
                <w:rFonts w:ascii="Times New Roman" w:hAnsi="Times New Roman" w:cs="Times New Roman"/>
                <w:color w:val="000000"/>
                <w:sz w:val="24"/>
                <w:szCs w:val="24"/>
              </w:rPr>
              <w:t>LNGDP</w:t>
            </w:r>
          </w:p>
        </w:tc>
        <w:tc>
          <w:tcPr>
            <w:tcW w:w="1418" w:type="dxa"/>
            <w:tcBorders>
              <w:top w:val="single" w:sz="4" w:space="0" w:color="auto"/>
              <w:bottom w:val="single" w:sz="4" w:space="0" w:color="auto"/>
            </w:tcBorders>
            <w:vAlign w:val="bottom"/>
          </w:tcPr>
          <w:p w14:paraId="2D7E9736"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sidRPr="009D475F">
              <w:rPr>
                <w:rFonts w:ascii="Times New Roman" w:hAnsi="Times New Roman" w:cs="Times New Roman"/>
                <w:color w:val="000000"/>
                <w:sz w:val="24"/>
                <w:szCs w:val="24"/>
              </w:rPr>
              <w:t>R</w:t>
            </w:r>
            <w:r w:rsidR="00BA3241">
              <w:rPr>
                <w:rFonts w:ascii="Times New Roman" w:hAnsi="Times New Roman" w:cs="Times New Roman"/>
                <w:color w:val="000000"/>
                <w:sz w:val="24"/>
                <w:szCs w:val="24"/>
              </w:rPr>
              <w:t>&amp;</w:t>
            </w:r>
            <w:r w:rsidRPr="009D475F">
              <w:rPr>
                <w:rFonts w:ascii="Times New Roman" w:hAnsi="Times New Roman" w:cs="Times New Roman"/>
                <w:color w:val="000000"/>
                <w:sz w:val="24"/>
                <w:szCs w:val="24"/>
              </w:rPr>
              <w:t>D</w:t>
            </w:r>
          </w:p>
        </w:tc>
        <w:tc>
          <w:tcPr>
            <w:tcW w:w="1417" w:type="dxa"/>
            <w:tcBorders>
              <w:top w:val="single" w:sz="4" w:space="0" w:color="auto"/>
              <w:bottom w:val="single" w:sz="4" w:space="0" w:color="auto"/>
            </w:tcBorders>
            <w:vAlign w:val="bottom"/>
          </w:tcPr>
          <w:p w14:paraId="6C7BB47A"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sidRPr="009D475F">
              <w:rPr>
                <w:rFonts w:ascii="Times New Roman" w:hAnsi="Times New Roman" w:cs="Times New Roman"/>
                <w:color w:val="000000"/>
                <w:sz w:val="24"/>
                <w:szCs w:val="24"/>
              </w:rPr>
              <w:t>REN</w:t>
            </w:r>
          </w:p>
        </w:tc>
      </w:tr>
      <w:tr w:rsidR="00AA47AF" w14:paraId="191D7A86" w14:textId="77777777" w:rsidTr="00071AA2">
        <w:trPr>
          <w:trHeight w:val="225"/>
        </w:trPr>
        <w:tc>
          <w:tcPr>
            <w:tcW w:w="1807" w:type="dxa"/>
            <w:tcBorders>
              <w:top w:val="single" w:sz="4" w:space="0" w:color="auto"/>
            </w:tcBorders>
            <w:vAlign w:val="bottom"/>
          </w:tcPr>
          <w:p w14:paraId="654118DF" w14:textId="77777777" w:rsidR="007F18D1" w:rsidRPr="009D475F" w:rsidRDefault="00DF7D72" w:rsidP="000722C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EP</w:t>
            </w:r>
            <w:r w:rsidRPr="009D475F">
              <w:rPr>
                <w:rFonts w:ascii="Times New Roman" w:hAnsi="Times New Roman" w:cs="Times New Roman"/>
                <w:color w:val="000000"/>
                <w:sz w:val="24"/>
                <w:szCs w:val="24"/>
              </w:rPr>
              <w:t> </w:t>
            </w:r>
          </w:p>
        </w:tc>
        <w:tc>
          <w:tcPr>
            <w:tcW w:w="1595" w:type="dxa"/>
            <w:tcBorders>
              <w:top w:val="single" w:sz="4" w:space="0" w:color="auto"/>
            </w:tcBorders>
            <w:vAlign w:val="bottom"/>
          </w:tcPr>
          <w:p w14:paraId="0D6420BF" w14:textId="77777777" w:rsidR="007F18D1" w:rsidRPr="009D475F" w:rsidRDefault="00DF7D72" w:rsidP="000722C8">
            <w:pPr>
              <w:autoSpaceDE w:val="0"/>
              <w:autoSpaceDN w:val="0"/>
              <w:adjustRightInd w:val="0"/>
              <w:spacing w:after="0" w:line="36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417" w:type="dxa"/>
            <w:tcBorders>
              <w:top w:val="single" w:sz="4" w:space="0" w:color="auto"/>
            </w:tcBorders>
            <w:vAlign w:val="bottom"/>
          </w:tcPr>
          <w:p w14:paraId="5548EAEB" w14:textId="77777777" w:rsidR="007F18D1" w:rsidRPr="009D475F" w:rsidRDefault="007F18D1" w:rsidP="000722C8">
            <w:pPr>
              <w:autoSpaceDE w:val="0"/>
              <w:autoSpaceDN w:val="0"/>
              <w:adjustRightInd w:val="0"/>
              <w:spacing w:after="0" w:line="360" w:lineRule="auto"/>
              <w:ind w:right="10"/>
              <w:jc w:val="center"/>
              <w:rPr>
                <w:rFonts w:ascii="Times New Roman" w:hAnsi="Times New Roman" w:cs="Times New Roman"/>
                <w:color w:val="000000"/>
                <w:sz w:val="24"/>
                <w:szCs w:val="24"/>
              </w:rPr>
            </w:pPr>
          </w:p>
        </w:tc>
        <w:tc>
          <w:tcPr>
            <w:tcW w:w="1418" w:type="dxa"/>
            <w:tcBorders>
              <w:top w:val="single" w:sz="4" w:space="0" w:color="auto"/>
            </w:tcBorders>
            <w:vAlign w:val="bottom"/>
          </w:tcPr>
          <w:p w14:paraId="696927AA" w14:textId="77777777" w:rsidR="007F18D1" w:rsidRPr="009D475F" w:rsidRDefault="007F18D1" w:rsidP="000722C8">
            <w:pPr>
              <w:autoSpaceDE w:val="0"/>
              <w:autoSpaceDN w:val="0"/>
              <w:adjustRightInd w:val="0"/>
              <w:spacing w:after="0" w:line="360" w:lineRule="auto"/>
              <w:ind w:right="10"/>
              <w:jc w:val="center"/>
              <w:rPr>
                <w:rFonts w:ascii="Times New Roman" w:hAnsi="Times New Roman" w:cs="Times New Roman"/>
                <w:color w:val="000000"/>
                <w:sz w:val="24"/>
                <w:szCs w:val="24"/>
              </w:rPr>
            </w:pPr>
          </w:p>
        </w:tc>
        <w:tc>
          <w:tcPr>
            <w:tcW w:w="1417" w:type="dxa"/>
            <w:tcBorders>
              <w:top w:val="single" w:sz="4" w:space="0" w:color="auto"/>
            </w:tcBorders>
            <w:vAlign w:val="bottom"/>
          </w:tcPr>
          <w:p w14:paraId="02238CFD" w14:textId="77777777" w:rsidR="007F18D1" w:rsidRPr="009D475F" w:rsidRDefault="007F18D1" w:rsidP="000722C8">
            <w:pPr>
              <w:autoSpaceDE w:val="0"/>
              <w:autoSpaceDN w:val="0"/>
              <w:adjustRightInd w:val="0"/>
              <w:spacing w:after="0" w:line="360" w:lineRule="auto"/>
              <w:ind w:right="10"/>
              <w:jc w:val="center"/>
              <w:rPr>
                <w:rFonts w:ascii="Times New Roman" w:hAnsi="Times New Roman" w:cs="Times New Roman"/>
                <w:color w:val="000000"/>
                <w:sz w:val="24"/>
                <w:szCs w:val="24"/>
              </w:rPr>
            </w:pPr>
          </w:p>
        </w:tc>
        <w:tc>
          <w:tcPr>
            <w:tcW w:w="1418" w:type="dxa"/>
            <w:tcBorders>
              <w:top w:val="single" w:sz="4" w:space="0" w:color="auto"/>
            </w:tcBorders>
            <w:vAlign w:val="bottom"/>
          </w:tcPr>
          <w:p w14:paraId="28E46C6D" w14:textId="77777777" w:rsidR="007F18D1" w:rsidRPr="009D475F" w:rsidRDefault="007F18D1" w:rsidP="000722C8">
            <w:pPr>
              <w:autoSpaceDE w:val="0"/>
              <w:autoSpaceDN w:val="0"/>
              <w:adjustRightInd w:val="0"/>
              <w:spacing w:after="0" w:line="360" w:lineRule="auto"/>
              <w:ind w:right="10"/>
              <w:jc w:val="center"/>
              <w:rPr>
                <w:rFonts w:ascii="Times New Roman" w:hAnsi="Times New Roman" w:cs="Times New Roman"/>
                <w:color w:val="000000"/>
                <w:sz w:val="24"/>
                <w:szCs w:val="24"/>
              </w:rPr>
            </w:pPr>
          </w:p>
        </w:tc>
        <w:tc>
          <w:tcPr>
            <w:tcW w:w="1417" w:type="dxa"/>
            <w:tcBorders>
              <w:top w:val="single" w:sz="4" w:space="0" w:color="auto"/>
            </w:tcBorders>
            <w:vAlign w:val="bottom"/>
          </w:tcPr>
          <w:p w14:paraId="5E205303" w14:textId="77777777" w:rsidR="007F18D1" w:rsidRPr="009D475F" w:rsidRDefault="007F18D1" w:rsidP="000722C8">
            <w:pPr>
              <w:autoSpaceDE w:val="0"/>
              <w:autoSpaceDN w:val="0"/>
              <w:adjustRightInd w:val="0"/>
              <w:spacing w:after="0" w:line="360" w:lineRule="auto"/>
              <w:ind w:right="10"/>
              <w:jc w:val="center"/>
              <w:rPr>
                <w:rFonts w:ascii="Times New Roman" w:hAnsi="Times New Roman" w:cs="Times New Roman"/>
                <w:color w:val="000000"/>
                <w:sz w:val="24"/>
                <w:szCs w:val="24"/>
              </w:rPr>
            </w:pPr>
          </w:p>
        </w:tc>
      </w:tr>
      <w:tr w:rsidR="00AA47AF" w14:paraId="130E7B51" w14:textId="77777777" w:rsidTr="00071AA2">
        <w:trPr>
          <w:trHeight w:val="225"/>
        </w:trPr>
        <w:tc>
          <w:tcPr>
            <w:tcW w:w="1807" w:type="dxa"/>
            <w:vAlign w:val="bottom"/>
          </w:tcPr>
          <w:p w14:paraId="1AF237C1" w14:textId="77777777" w:rsidR="007F18D1" w:rsidRPr="009D475F" w:rsidRDefault="00DF7D72" w:rsidP="000722C8">
            <w:pPr>
              <w:autoSpaceDE w:val="0"/>
              <w:autoSpaceDN w:val="0"/>
              <w:adjustRightInd w:val="0"/>
              <w:spacing w:after="0" w:line="240" w:lineRule="auto"/>
              <w:rPr>
                <w:rFonts w:ascii="Times New Roman" w:hAnsi="Times New Roman" w:cs="Times New Roman"/>
                <w:color w:val="000000"/>
                <w:sz w:val="24"/>
                <w:szCs w:val="24"/>
              </w:rPr>
            </w:pPr>
            <w:r w:rsidRPr="009D475F">
              <w:rPr>
                <w:rFonts w:ascii="Times New Roman" w:hAnsi="Times New Roman" w:cs="Times New Roman"/>
                <w:color w:val="000000"/>
                <w:sz w:val="24"/>
                <w:szCs w:val="24"/>
              </w:rPr>
              <w:t>LNTRM </w:t>
            </w:r>
          </w:p>
        </w:tc>
        <w:tc>
          <w:tcPr>
            <w:tcW w:w="1595" w:type="dxa"/>
            <w:vAlign w:val="bottom"/>
          </w:tcPr>
          <w:p w14:paraId="5951AF1E" w14:textId="77777777" w:rsidR="007F18D1" w:rsidRPr="00DF7D72" w:rsidRDefault="00DF7D72" w:rsidP="000722C8">
            <w:pPr>
              <w:autoSpaceDE w:val="0"/>
              <w:autoSpaceDN w:val="0"/>
              <w:adjustRightInd w:val="0"/>
              <w:spacing w:after="0" w:line="240" w:lineRule="auto"/>
              <w:ind w:right="10"/>
              <w:jc w:val="center"/>
              <w:rPr>
                <w:rFonts w:ascii="Times New Roman" w:hAnsi="Times New Roman" w:cs="Times New Roman"/>
                <w:sz w:val="24"/>
                <w:szCs w:val="24"/>
              </w:rPr>
            </w:pPr>
            <w:r w:rsidRPr="00DF7D72">
              <w:rPr>
                <w:rFonts w:ascii="Times New Roman" w:hAnsi="Times New Roman" w:cs="Times New Roman"/>
                <w:sz w:val="24"/>
                <w:szCs w:val="24"/>
              </w:rPr>
              <w:t>0.3971***</w:t>
            </w:r>
          </w:p>
        </w:tc>
        <w:tc>
          <w:tcPr>
            <w:tcW w:w="1417" w:type="dxa"/>
            <w:vAlign w:val="bottom"/>
          </w:tcPr>
          <w:p w14:paraId="2DB80118" w14:textId="77777777" w:rsidR="007F18D1" w:rsidRPr="009D475F" w:rsidRDefault="00DF7D72" w:rsidP="000722C8">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418" w:type="dxa"/>
            <w:vAlign w:val="bottom"/>
          </w:tcPr>
          <w:p w14:paraId="070EBE7A" w14:textId="77777777" w:rsidR="007F18D1" w:rsidRPr="009D475F" w:rsidRDefault="007F18D1" w:rsidP="000722C8">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417" w:type="dxa"/>
            <w:vAlign w:val="bottom"/>
          </w:tcPr>
          <w:p w14:paraId="5BAE101B" w14:textId="77777777" w:rsidR="007F18D1" w:rsidRPr="009D475F" w:rsidRDefault="007F18D1" w:rsidP="000722C8">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418" w:type="dxa"/>
            <w:vAlign w:val="bottom"/>
          </w:tcPr>
          <w:p w14:paraId="3FACC815" w14:textId="77777777" w:rsidR="007F18D1" w:rsidRPr="009D475F" w:rsidRDefault="007F18D1" w:rsidP="000722C8">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417" w:type="dxa"/>
            <w:vAlign w:val="bottom"/>
          </w:tcPr>
          <w:p w14:paraId="62849329" w14:textId="77777777" w:rsidR="007F18D1" w:rsidRPr="009D475F" w:rsidRDefault="007F18D1" w:rsidP="000722C8">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AA47AF" w14:paraId="1ACDE570" w14:textId="77777777" w:rsidTr="00071AA2">
        <w:trPr>
          <w:trHeight w:val="225"/>
        </w:trPr>
        <w:tc>
          <w:tcPr>
            <w:tcW w:w="1807" w:type="dxa"/>
            <w:vAlign w:val="bottom"/>
          </w:tcPr>
          <w:p w14:paraId="2D9D89B9" w14:textId="77777777" w:rsidR="007F18D1" w:rsidRPr="009D475F" w:rsidRDefault="007F18D1" w:rsidP="000722C8">
            <w:pPr>
              <w:autoSpaceDE w:val="0"/>
              <w:autoSpaceDN w:val="0"/>
              <w:adjustRightInd w:val="0"/>
              <w:spacing w:after="0" w:line="240" w:lineRule="auto"/>
              <w:rPr>
                <w:rFonts w:ascii="Times New Roman" w:hAnsi="Times New Roman" w:cs="Times New Roman"/>
                <w:color w:val="000000"/>
                <w:sz w:val="24"/>
                <w:szCs w:val="24"/>
              </w:rPr>
            </w:pPr>
          </w:p>
        </w:tc>
        <w:tc>
          <w:tcPr>
            <w:tcW w:w="1595" w:type="dxa"/>
            <w:vAlign w:val="bottom"/>
          </w:tcPr>
          <w:p w14:paraId="0FB959FF" w14:textId="77777777" w:rsidR="007F18D1" w:rsidRPr="00DF7D72" w:rsidRDefault="00DF7D72" w:rsidP="000722C8">
            <w:pPr>
              <w:autoSpaceDE w:val="0"/>
              <w:autoSpaceDN w:val="0"/>
              <w:adjustRightInd w:val="0"/>
              <w:spacing w:after="0" w:line="240" w:lineRule="auto"/>
              <w:ind w:right="10"/>
              <w:jc w:val="center"/>
              <w:rPr>
                <w:rFonts w:ascii="Times New Roman" w:hAnsi="Times New Roman" w:cs="Times New Roman"/>
                <w:sz w:val="24"/>
                <w:szCs w:val="24"/>
              </w:rPr>
            </w:pPr>
            <w:r w:rsidRPr="00DF7D72">
              <w:rPr>
                <w:rFonts w:ascii="Times New Roman" w:hAnsi="Times New Roman" w:cs="Times New Roman"/>
                <w:sz w:val="24"/>
                <w:szCs w:val="24"/>
              </w:rPr>
              <w:t>[</w:t>
            </w:r>
            <w:r w:rsidR="00F0503A" w:rsidRPr="00DF7D72">
              <w:rPr>
                <w:rFonts w:ascii="Times New Roman" w:hAnsi="Times New Roman" w:cs="Times New Roman"/>
                <w:sz w:val="24"/>
                <w:szCs w:val="24"/>
              </w:rPr>
              <w:t>9.6948</w:t>
            </w:r>
            <w:r w:rsidRPr="00DF7D72">
              <w:rPr>
                <w:rFonts w:ascii="Times New Roman" w:hAnsi="Times New Roman" w:cs="Times New Roman"/>
                <w:sz w:val="24"/>
                <w:szCs w:val="24"/>
              </w:rPr>
              <w:t>]</w:t>
            </w:r>
          </w:p>
        </w:tc>
        <w:tc>
          <w:tcPr>
            <w:tcW w:w="1417" w:type="dxa"/>
            <w:vAlign w:val="bottom"/>
          </w:tcPr>
          <w:p w14:paraId="54BE52AB" w14:textId="77777777" w:rsidR="007F18D1" w:rsidRPr="009D475F" w:rsidRDefault="00DF7D72" w:rsidP="000722C8">
            <w:pPr>
              <w:autoSpaceDE w:val="0"/>
              <w:autoSpaceDN w:val="0"/>
              <w:adjustRightInd w:val="0"/>
              <w:spacing w:after="0" w:line="240" w:lineRule="auto"/>
              <w:ind w:right="10"/>
              <w:jc w:val="center"/>
              <w:rPr>
                <w:rFonts w:ascii="Times New Roman" w:hAnsi="Times New Roman" w:cs="Times New Roman"/>
                <w:color w:val="000000"/>
                <w:sz w:val="24"/>
                <w:szCs w:val="24"/>
              </w:rPr>
            </w:pPr>
            <w:r w:rsidRPr="009D475F">
              <w:rPr>
                <w:rFonts w:ascii="Times New Roman" w:hAnsi="Times New Roman" w:cs="Times New Roman"/>
                <w:color w:val="000000"/>
                <w:sz w:val="24"/>
                <w:szCs w:val="24"/>
              </w:rPr>
              <w:t>-----</w:t>
            </w:r>
          </w:p>
        </w:tc>
        <w:tc>
          <w:tcPr>
            <w:tcW w:w="1418" w:type="dxa"/>
            <w:vAlign w:val="bottom"/>
          </w:tcPr>
          <w:p w14:paraId="24764B74" w14:textId="77777777" w:rsidR="007F18D1" w:rsidRPr="009D475F" w:rsidRDefault="007F18D1" w:rsidP="000722C8">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417" w:type="dxa"/>
            <w:vAlign w:val="bottom"/>
          </w:tcPr>
          <w:p w14:paraId="6939791B" w14:textId="77777777" w:rsidR="007F18D1" w:rsidRPr="009D475F" w:rsidRDefault="007F18D1" w:rsidP="000722C8">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418" w:type="dxa"/>
            <w:vAlign w:val="bottom"/>
          </w:tcPr>
          <w:p w14:paraId="5CE7E416" w14:textId="77777777" w:rsidR="007F18D1" w:rsidRPr="009D475F" w:rsidRDefault="007F18D1" w:rsidP="000722C8">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417" w:type="dxa"/>
            <w:vAlign w:val="bottom"/>
          </w:tcPr>
          <w:p w14:paraId="472613AE" w14:textId="77777777" w:rsidR="007F18D1" w:rsidRPr="009D475F" w:rsidRDefault="007F18D1" w:rsidP="000722C8">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AA47AF" w14:paraId="541D59B2" w14:textId="77777777" w:rsidTr="00071AA2">
        <w:trPr>
          <w:trHeight w:val="225"/>
        </w:trPr>
        <w:tc>
          <w:tcPr>
            <w:tcW w:w="1807" w:type="dxa"/>
            <w:vAlign w:val="bottom"/>
          </w:tcPr>
          <w:p w14:paraId="67E7AA64" w14:textId="77777777" w:rsidR="007F18D1" w:rsidRPr="009D475F" w:rsidRDefault="00DF7D72" w:rsidP="00BE06F5">
            <w:pPr>
              <w:autoSpaceDE w:val="0"/>
              <w:autoSpaceDN w:val="0"/>
              <w:adjustRightInd w:val="0"/>
              <w:spacing w:after="0" w:line="240" w:lineRule="auto"/>
              <w:rPr>
                <w:rFonts w:ascii="Times New Roman" w:hAnsi="Times New Roman" w:cs="Times New Roman"/>
                <w:color w:val="000000"/>
                <w:sz w:val="24"/>
                <w:szCs w:val="24"/>
              </w:rPr>
            </w:pPr>
            <w:r w:rsidRPr="009D475F">
              <w:rPr>
                <w:rFonts w:ascii="Times New Roman" w:hAnsi="Times New Roman" w:cs="Times New Roman"/>
                <w:color w:val="000000"/>
                <w:sz w:val="24"/>
                <w:szCs w:val="24"/>
              </w:rPr>
              <w:t>LNETAX </w:t>
            </w:r>
          </w:p>
        </w:tc>
        <w:tc>
          <w:tcPr>
            <w:tcW w:w="1595" w:type="dxa"/>
            <w:vAlign w:val="bottom"/>
          </w:tcPr>
          <w:p w14:paraId="3D809AB7" w14:textId="77777777" w:rsidR="007F18D1" w:rsidRPr="00DF7D72" w:rsidRDefault="00DF7D72" w:rsidP="00BE06F5">
            <w:pPr>
              <w:autoSpaceDE w:val="0"/>
              <w:autoSpaceDN w:val="0"/>
              <w:adjustRightInd w:val="0"/>
              <w:spacing w:after="0" w:line="240" w:lineRule="auto"/>
              <w:ind w:right="10"/>
              <w:jc w:val="center"/>
              <w:rPr>
                <w:rFonts w:ascii="Times New Roman" w:hAnsi="Times New Roman" w:cs="Times New Roman"/>
                <w:sz w:val="24"/>
                <w:szCs w:val="24"/>
              </w:rPr>
            </w:pPr>
            <w:r w:rsidRPr="00DF7D72">
              <w:rPr>
                <w:rFonts w:ascii="Times New Roman" w:hAnsi="Times New Roman" w:cs="Times New Roman"/>
                <w:sz w:val="24"/>
                <w:szCs w:val="24"/>
              </w:rPr>
              <w:t>0.3434***</w:t>
            </w:r>
          </w:p>
        </w:tc>
        <w:tc>
          <w:tcPr>
            <w:tcW w:w="1417" w:type="dxa"/>
            <w:vAlign w:val="bottom"/>
          </w:tcPr>
          <w:p w14:paraId="09BC36E6"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9D475F">
              <w:rPr>
                <w:rFonts w:ascii="Times New Roman" w:hAnsi="Times New Roman" w:cs="Times New Roman"/>
                <w:color w:val="000000"/>
                <w:sz w:val="24"/>
                <w:szCs w:val="24"/>
              </w:rPr>
              <w:t>4</w:t>
            </w:r>
            <w:r>
              <w:rPr>
                <w:rFonts w:ascii="Times New Roman" w:hAnsi="Times New Roman" w:cs="Times New Roman"/>
                <w:color w:val="000000"/>
                <w:sz w:val="24"/>
                <w:szCs w:val="24"/>
              </w:rPr>
              <w:t>8</w:t>
            </w:r>
            <w:r w:rsidR="00F0503A">
              <w:rPr>
                <w:rFonts w:ascii="Times New Roman" w:hAnsi="Times New Roman" w:cs="Times New Roman"/>
                <w:color w:val="000000"/>
                <w:sz w:val="24"/>
                <w:szCs w:val="24"/>
              </w:rPr>
              <w:t>39</w:t>
            </w:r>
            <w:r w:rsidRPr="009D475F">
              <w:rPr>
                <w:rFonts w:ascii="Times New Roman" w:hAnsi="Times New Roman" w:cs="Times New Roman"/>
                <w:color w:val="000000"/>
                <w:sz w:val="24"/>
                <w:szCs w:val="24"/>
              </w:rPr>
              <w:t>***</w:t>
            </w:r>
          </w:p>
        </w:tc>
        <w:tc>
          <w:tcPr>
            <w:tcW w:w="1418" w:type="dxa"/>
            <w:vAlign w:val="bottom"/>
          </w:tcPr>
          <w:p w14:paraId="1492D5EC"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417" w:type="dxa"/>
            <w:vAlign w:val="bottom"/>
          </w:tcPr>
          <w:p w14:paraId="60257355" w14:textId="77777777" w:rsidR="007F18D1" w:rsidRPr="009D475F" w:rsidRDefault="007F18D1" w:rsidP="00BE06F5">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418" w:type="dxa"/>
            <w:vAlign w:val="bottom"/>
          </w:tcPr>
          <w:p w14:paraId="17C6715A" w14:textId="77777777" w:rsidR="007F18D1" w:rsidRPr="009D475F" w:rsidRDefault="007F18D1" w:rsidP="00BE06F5">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417" w:type="dxa"/>
            <w:vAlign w:val="bottom"/>
          </w:tcPr>
          <w:p w14:paraId="32F74BA2" w14:textId="77777777" w:rsidR="007F18D1" w:rsidRPr="009D475F" w:rsidRDefault="007F18D1" w:rsidP="00BE06F5">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AA47AF" w14:paraId="104F4EB3" w14:textId="77777777" w:rsidTr="00071AA2">
        <w:trPr>
          <w:trHeight w:val="225"/>
        </w:trPr>
        <w:tc>
          <w:tcPr>
            <w:tcW w:w="1807" w:type="dxa"/>
            <w:vAlign w:val="bottom"/>
          </w:tcPr>
          <w:p w14:paraId="0506E553" w14:textId="77777777" w:rsidR="007F18D1" w:rsidRPr="009D475F" w:rsidRDefault="007F18D1" w:rsidP="00BE06F5">
            <w:pPr>
              <w:autoSpaceDE w:val="0"/>
              <w:autoSpaceDN w:val="0"/>
              <w:adjustRightInd w:val="0"/>
              <w:spacing w:after="0" w:line="240" w:lineRule="auto"/>
              <w:rPr>
                <w:rFonts w:ascii="Times New Roman" w:hAnsi="Times New Roman" w:cs="Times New Roman"/>
                <w:color w:val="000000"/>
                <w:sz w:val="24"/>
                <w:szCs w:val="24"/>
              </w:rPr>
            </w:pPr>
          </w:p>
        </w:tc>
        <w:tc>
          <w:tcPr>
            <w:tcW w:w="1595" w:type="dxa"/>
            <w:vAlign w:val="bottom"/>
          </w:tcPr>
          <w:p w14:paraId="74984497" w14:textId="77777777" w:rsidR="007F18D1" w:rsidRPr="00DF7D72" w:rsidRDefault="00DF7D72" w:rsidP="00BE06F5">
            <w:pPr>
              <w:autoSpaceDE w:val="0"/>
              <w:autoSpaceDN w:val="0"/>
              <w:adjustRightInd w:val="0"/>
              <w:spacing w:after="0" w:line="240" w:lineRule="auto"/>
              <w:ind w:right="10"/>
              <w:jc w:val="center"/>
              <w:rPr>
                <w:rFonts w:ascii="Times New Roman" w:hAnsi="Times New Roman" w:cs="Times New Roman"/>
                <w:sz w:val="24"/>
                <w:szCs w:val="24"/>
              </w:rPr>
            </w:pPr>
            <w:r w:rsidRPr="00DF7D72">
              <w:rPr>
                <w:rFonts w:ascii="Times New Roman" w:hAnsi="Times New Roman" w:cs="Times New Roman"/>
                <w:sz w:val="24"/>
                <w:szCs w:val="24"/>
              </w:rPr>
              <w:t>[</w:t>
            </w:r>
            <w:r w:rsidR="00F0503A" w:rsidRPr="00DF7D72">
              <w:rPr>
                <w:rFonts w:ascii="Times New Roman" w:hAnsi="Times New Roman" w:cs="Times New Roman"/>
                <w:sz w:val="24"/>
                <w:szCs w:val="24"/>
              </w:rPr>
              <w:t>8.1930</w:t>
            </w:r>
            <w:r w:rsidRPr="00DF7D72">
              <w:rPr>
                <w:rFonts w:ascii="Times New Roman" w:hAnsi="Times New Roman" w:cs="Times New Roman"/>
                <w:sz w:val="24"/>
                <w:szCs w:val="24"/>
              </w:rPr>
              <w:t>]</w:t>
            </w:r>
          </w:p>
        </w:tc>
        <w:tc>
          <w:tcPr>
            <w:tcW w:w="1417" w:type="dxa"/>
            <w:vAlign w:val="bottom"/>
          </w:tcPr>
          <w:p w14:paraId="108C51D7"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F0503A">
              <w:rPr>
                <w:rFonts w:ascii="Times New Roman" w:hAnsi="Times New Roman" w:cs="Times New Roman"/>
                <w:color w:val="000000"/>
                <w:sz w:val="24"/>
                <w:szCs w:val="24"/>
              </w:rPr>
              <w:t>35.243</w:t>
            </w:r>
            <w:r>
              <w:rPr>
                <w:rFonts w:ascii="Times New Roman" w:hAnsi="Times New Roman" w:cs="Times New Roman"/>
                <w:color w:val="000000"/>
                <w:sz w:val="24"/>
                <w:szCs w:val="24"/>
              </w:rPr>
              <w:t>]</w:t>
            </w:r>
          </w:p>
        </w:tc>
        <w:tc>
          <w:tcPr>
            <w:tcW w:w="1418" w:type="dxa"/>
            <w:vAlign w:val="bottom"/>
          </w:tcPr>
          <w:p w14:paraId="722C57AE"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sidRPr="009D475F">
              <w:rPr>
                <w:rFonts w:ascii="Times New Roman" w:hAnsi="Times New Roman" w:cs="Times New Roman"/>
                <w:color w:val="000000"/>
                <w:sz w:val="24"/>
                <w:szCs w:val="24"/>
              </w:rPr>
              <w:t>-----</w:t>
            </w:r>
          </w:p>
        </w:tc>
        <w:tc>
          <w:tcPr>
            <w:tcW w:w="1417" w:type="dxa"/>
            <w:vAlign w:val="bottom"/>
          </w:tcPr>
          <w:p w14:paraId="2A2C9F5B" w14:textId="77777777" w:rsidR="007F18D1" w:rsidRPr="009D475F" w:rsidRDefault="007F18D1" w:rsidP="00BE06F5">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418" w:type="dxa"/>
            <w:vAlign w:val="bottom"/>
          </w:tcPr>
          <w:p w14:paraId="0CEA2454" w14:textId="77777777" w:rsidR="007F18D1" w:rsidRPr="009D475F" w:rsidRDefault="007F18D1" w:rsidP="00BE06F5">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417" w:type="dxa"/>
            <w:vAlign w:val="bottom"/>
          </w:tcPr>
          <w:p w14:paraId="0D805BD2" w14:textId="77777777" w:rsidR="007F18D1" w:rsidRPr="009D475F" w:rsidRDefault="007F18D1" w:rsidP="00BE06F5">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AA47AF" w14:paraId="041EDFEB" w14:textId="77777777" w:rsidTr="00071AA2">
        <w:trPr>
          <w:trHeight w:val="225"/>
        </w:trPr>
        <w:tc>
          <w:tcPr>
            <w:tcW w:w="1807" w:type="dxa"/>
            <w:vAlign w:val="bottom"/>
          </w:tcPr>
          <w:p w14:paraId="4D8AE079" w14:textId="77777777" w:rsidR="007F18D1" w:rsidRPr="009D475F" w:rsidRDefault="00DF7D72" w:rsidP="00BE06F5">
            <w:pPr>
              <w:autoSpaceDE w:val="0"/>
              <w:autoSpaceDN w:val="0"/>
              <w:adjustRightInd w:val="0"/>
              <w:spacing w:after="0" w:line="240" w:lineRule="auto"/>
              <w:rPr>
                <w:rFonts w:ascii="Times New Roman" w:hAnsi="Times New Roman" w:cs="Times New Roman"/>
                <w:color w:val="000000"/>
                <w:sz w:val="24"/>
                <w:szCs w:val="24"/>
              </w:rPr>
            </w:pPr>
            <w:r w:rsidRPr="009D475F">
              <w:rPr>
                <w:rFonts w:ascii="Times New Roman" w:hAnsi="Times New Roman" w:cs="Times New Roman"/>
                <w:color w:val="000000"/>
                <w:sz w:val="24"/>
                <w:szCs w:val="24"/>
              </w:rPr>
              <w:t>LNGDP </w:t>
            </w:r>
          </w:p>
        </w:tc>
        <w:tc>
          <w:tcPr>
            <w:tcW w:w="1595" w:type="dxa"/>
            <w:vAlign w:val="bottom"/>
          </w:tcPr>
          <w:p w14:paraId="63D26BAE" w14:textId="77777777" w:rsidR="007F18D1" w:rsidRPr="00DF7D72" w:rsidRDefault="00DF7D72" w:rsidP="00F0503A">
            <w:pPr>
              <w:autoSpaceDE w:val="0"/>
              <w:autoSpaceDN w:val="0"/>
              <w:adjustRightInd w:val="0"/>
              <w:spacing w:after="0" w:line="240" w:lineRule="auto"/>
              <w:ind w:right="10"/>
              <w:jc w:val="center"/>
              <w:rPr>
                <w:rFonts w:ascii="Times New Roman" w:hAnsi="Times New Roman" w:cs="Times New Roman"/>
                <w:sz w:val="24"/>
                <w:szCs w:val="24"/>
              </w:rPr>
            </w:pPr>
            <w:r w:rsidRPr="00DF7D72">
              <w:rPr>
                <w:rFonts w:ascii="Times New Roman" w:hAnsi="Times New Roman" w:cs="Times New Roman"/>
                <w:sz w:val="24"/>
                <w:szCs w:val="24"/>
              </w:rPr>
              <w:t>0.5646***</w:t>
            </w:r>
          </w:p>
        </w:tc>
        <w:tc>
          <w:tcPr>
            <w:tcW w:w="1417" w:type="dxa"/>
            <w:vAlign w:val="bottom"/>
          </w:tcPr>
          <w:p w14:paraId="1A79D75E"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sidRPr="009D475F">
              <w:rPr>
                <w:rFonts w:ascii="Times New Roman" w:hAnsi="Times New Roman" w:cs="Times New Roman"/>
                <w:color w:val="000000"/>
                <w:sz w:val="24"/>
                <w:szCs w:val="24"/>
              </w:rPr>
              <w:t>0.46</w:t>
            </w:r>
            <w:r w:rsidR="00F0503A">
              <w:rPr>
                <w:rFonts w:ascii="Times New Roman" w:hAnsi="Times New Roman" w:cs="Times New Roman"/>
                <w:color w:val="000000"/>
                <w:sz w:val="24"/>
                <w:szCs w:val="24"/>
              </w:rPr>
              <w:t>51</w:t>
            </w:r>
            <w:r w:rsidRPr="009D475F">
              <w:rPr>
                <w:rFonts w:ascii="Times New Roman" w:hAnsi="Times New Roman" w:cs="Times New Roman"/>
                <w:color w:val="000000"/>
                <w:sz w:val="24"/>
                <w:szCs w:val="24"/>
              </w:rPr>
              <w:t>***</w:t>
            </w:r>
          </w:p>
        </w:tc>
        <w:tc>
          <w:tcPr>
            <w:tcW w:w="1418" w:type="dxa"/>
            <w:vAlign w:val="bottom"/>
          </w:tcPr>
          <w:p w14:paraId="4F47ECDE"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0.4574</w:t>
            </w:r>
            <w:r w:rsidRPr="009D475F">
              <w:rPr>
                <w:rFonts w:ascii="Times New Roman" w:hAnsi="Times New Roman" w:cs="Times New Roman"/>
                <w:color w:val="000000"/>
                <w:sz w:val="24"/>
                <w:szCs w:val="24"/>
              </w:rPr>
              <w:t>***</w:t>
            </w:r>
          </w:p>
        </w:tc>
        <w:tc>
          <w:tcPr>
            <w:tcW w:w="1417" w:type="dxa"/>
            <w:vAlign w:val="bottom"/>
          </w:tcPr>
          <w:p w14:paraId="1556D193"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418" w:type="dxa"/>
            <w:vAlign w:val="bottom"/>
          </w:tcPr>
          <w:p w14:paraId="3EB2AE79" w14:textId="77777777" w:rsidR="007F18D1" w:rsidRPr="009D475F" w:rsidRDefault="007F18D1" w:rsidP="00BE06F5">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417" w:type="dxa"/>
            <w:vAlign w:val="bottom"/>
          </w:tcPr>
          <w:p w14:paraId="67DC2907" w14:textId="77777777" w:rsidR="007F18D1" w:rsidRPr="009D475F" w:rsidRDefault="007F18D1" w:rsidP="00BE06F5">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AA47AF" w14:paraId="34C50067" w14:textId="77777777" w:rsidTr="00071AA2">
        <w:trPr>
          <w:trHeight w:val="225"/>
        </w:trPr>
        <w:tc>
          <w:tcPr>
            <w:tcW w:w="1807" w:type="dxa"/>
            <w:vAlign w:val="bottom"/>
          </w:tcPr>
          <w:p w14:paraId="2F80DCD7" w14:textId="77777777" w:rsidR="007F18D1" w:rsidRPr="009D475F" w:rsidRDefault="007F18D1" w:rsidP="00BE06F5">
            <w:pPr>
              <w:autoSpaceDE w:val="0"/>
              <w:autoSpaceDN w:val="0"/>
              <w:adjustRightInd w:val="0"/>
              <w:spacing w:after="0" w:line="240" w:lineRule="auto"/>
              <w:rPr>
                <w:rFonts w:ascii="Times New Roman" w:hAnsi="Times New Roman" w:cs="Times New Roman"/>
                <w:color w:val="000000"/>
                <w:sz w:val="24"/>
                <w:szCs w:val="24"/>
              </w:rPr>
            </w:pPr>
          </w:p>
        </w:tc>
        <w:tc>
          <w:tcPr>
            <w:tcW w:w="1595" w:type="dxa"/>
            <w:vAlign w:val="bottom"/>
          </w:tcPr>
          <w:p w14:paraId="7DA4ECDB" w14:textId="77777777" w:rsidR="007F18D1" w:rsidRPr="00DF7D72" w:rsidRDefault="00DF7D72" w:rsidP="00BE06F5">
            <w:pPr>
              <w:autoSpaceDE w:val="0"/>
              <w:autoSpaceDN w:val="0"/>
              <w:adjustRightInd w:val="0"/>
              <w:spacing w:after="0" w:line="240" w:lineRule="auto"/>
              <w:ind w:right="10"/>
              <w:jc w:val="center"/>
              <w:rPr>
                <w:rFonts w:ascii="Times New Roman" w:hAnsi="Times New Roman" w:cs="Times New Roman"/>
                <w:sz w:val="24"/>
                <w:szCs w:val="24"/>
              </w:rPr>
            </w:pPr>
            <w:r w:rsidRPr="00DF7D72">
              <w:rPr>
                <w:rFonts w:ascii="Times New Roman" w:hAnsi="Times New Roman" w:cs="Times New Roman"/>
                <w:sz w:val="24"/>
                <w:szCs w:val="24"/>
              </w:rPr>
              <w:t>[</w:t>
            </w:r>
            <w:r w:rsidR="00F0503A" w:rsidRPr="00DF7D72">
              <w:rPr>
                <w:rFonts w:ascii="Times New Roman" w:hAnsi="Times New Roman" w:cs="Times New Roman"/>
                <w:sz w:val="24"/>
                <w:szCs w:val="24"/>
              </w:rPr>
              <w:t>15.328</w:t>
            </w:r>
            <w:r w:rsidRPr="00DF7D72">
              <w:rPr>
                <w:rFonts w:ascii="Times New Roman" w:hAnsi="Times New Roman" w:cs="Times New Roman"/>
                <w:sz w:val="24"/>
                <w:szCs w:val="24"/>
              </w:rPr>
              <w:t>]</w:t>
            </w:r>
          </w:p>
        </w:tc>
        <w:tc>
          <w:tcPr>
            <w:tcW w:w="1417" w:type="dxa"/>
            <w:vAlign w:val="bottom"/>
          </w:tcPr>
          <w:p w14:paraId="3B1F9C13" w14:textId="77777777" w:rsidR="007F18D1" w:rsidRPr="009D475F" w:rsidRDefault="00DF7D72" w:rsidP="00F0503A">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9D475F">
              <w:rPr>
                <w:rFonts w:ascii="Times New Roman" w:hAnsi="Times New Roman" w:cs="Times New Roman"/>
                <w:color w:val="000000"/>
                <w:sz w:val="24"/>
                <w:szCs w:val="24"/>
              </w:rPr>
              <w:t>11.771</w:t>
            </w:r>
            <w:r>
              <w:rPr>
                <w:rFonts w:ascii="Times New Roman" w:hAnsi="Times New Roman" w:cs="Times New Roman"/>
                <w:color w:val="000000"/>
                <w:sz w:val="24"/>
                <w:szCs w:val="24"/>
              </w:rPr>
              <w:t>]</w:t>
            </w:r>
          </w:p>
        </w:tc>
        <w:tc>
          <w:tcPr>
            <w:tcW w:w="1418" w:type="dxa"/>
            <w:vAlign w:val="bottom"/>
          </w:tcPr>
          <w:p w14:paraId="46B34AF6" w14:textId="77777777" w:rsidR="007F18D1" w:rsidRPr="009D475F" w:rsidRDefault="00DF7D72" w:rsidP="00F0503A">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9D475F">
              <w:rPr>
                <w:rFonts w:ascii="Times New Roman" w:hAnsi="Times New Roman" w:cs="Times New Roman"/>
                <w:color w:val="000000"/>
                <w:sz w:val="24"/>
                <w:szCs w:val="24"/>
              </w:rPr>
              <w:t>11.523</w:t>
            </w:r>
            <w:r>
              <w:rPr>
                <w:rFonts w:ascii="Times New Roman" w:hAnsi="Times New Roman" w:cs="Times New Roman"/>
                <w:color w:val="000000"/>
                <w:sz w:val="24"/>
                <w:szCs w:val="24"/>
              </w:rPr>
              <w:t>]</w:t>
            </w:r>
          </w:p>
        </w:tc>
        <w:tc>
          <w:tcPr>
            <w:tcW w:w="1417" w:type="dxa"/>
            <w:vAlign w:val="bottom"/>
          </w:tcPr>
          <w:p w14:paraId="674F92D6"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sidRPr="009D475F">
              <w:rPr>
                <w:rFonts w:ascii="Times New Roman" w:hAnsi="Times New Roman" w:cs="Times New Roman"/>
                <w:color w:val="000000"/>
                <w:sz w:val="24"/>
                <w:szCs w:val="24"/>
              </w:rPr>
              <w:t>-----</w:t>
            </w:r>
          </w:p>
        </w:tc>
        <w:tc>
          <w:tcPr>
            <w:tcW w:w="1418" w:type="dxa"/>
            <w:vAlign w:val="bottom"/>
          </w:tcPr>
          <w:p w14:paraId="72C102EA" w14:textId="77777777" w:rsidR="007F18D1" w:rsidRPr="009D475F" w:rsidRDefault="007F18D1" w:rsidP="00BE06F5">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417" w:type="dxa"/>
            <w:vAlign w:val="bottom"/>
          </w:tcPr>
          <w:p w14:paraId="7199CFC7" w14:textId="77777777" w:rsidR="007F18D1" w:rsidRPr="009D475F" w:rsidRDefault="007F18D1" w:rsidP="00BE06F5">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AA47AF" w14:paraId="772003F7" w14:textId="77777777" w:rsidTr="00071AA2">
        <w:trPr>
          <w:trHeight w:val="225"/>
        </w:trPr>
        <w:tc>
          <w:tcPr>
            <w:tcW w:w="1807" w:type="dxa"/>
            <w:vAlign w:val="bottom"/>
          </w:tcPr>
          <w:p w14:paraId="04AD33AE" w14:textId="77777777" w:rsidR="007F18D1" w:rsidRPr="009D475F" w:rsidRDefault="00DF7D72" w:rsidP="00BE06F5">
            <w:pPr>
              <w:autoSpaceDE w:val="0"/>
              <w:autoSpaceDN w:val="0"/>
              <w:adjustRightInd w:val="0"/>
              <w:spacing w:after="0" w:line="240" w:lineRule="auto"/>
              <w:rPr>
                <w:rFonts w:ascii="Times New Roman" w:hAnsi="Times New Roman" w:cs="Times New Roman"/>
                <w:color w:val="000000"/>
                <w:sz w:val="24"/>
                <w:szCs w:val="24"/>
              </w:rPr>
            </w:pPr>
            <w:r w:rsidRPr="009D475F">
              <w:rPr>
                <w:rFonts w:ascii="Times New Roman" w:hAnsi="Times New Roman" w:cs="Times New Roman"/>
                <w:color w:val="000000"/>
                <w:sz w:val="24"/>
                <w:szCs w:val="24"/>
              </w:rPr>
              <w:t>R</w:t>
            </w:r>
            <w:r w:rsidR="00BA3241">
              <w:rPr>
                <w:rFonts w:ascii="Times New Roman" w:hAnsi="Times New Roman" w:cs="Times New Roman"/>
                <w:color w:val="000000"/>
                <w:sz w:val="24"/>
                <w:szCs w:val="24"/>
              </w:rPr>
              <w:t>&amp;</w:t>
            </w:r>
            <w:r w:rsidRPr="009D475F">
              <w:rPr>
                <w:rFonts w:ascii="Times New Roman" w:hAnsi="Times New Roman" w:cs="Times New Roman"/>
                <w:color w:val="000000"/>
                <w:sz w:val="24"/>
                <w:szCs w:val="24"/>
              </w:rPr>
              <w:t>D </w:t>
            </w:r>
          </w:p>
        </w:tc>
        <w:tc>
          <w:tcPr>
            <w:tcW w:w="1595" w:type="dxa"/>
            <w:vAlign w:val="bottom"/>
          </w:tcPr>
          <w:p w14:paraId="03A45FE6"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0.4447</w:t>
            </w:r>
            <w:r w:rsidRPr="009D475F">
              <w:rPr>
                <w:rFonts w:ascii="Times New Roman" w:hAnsi="Times New Roman" w:cs="Times New Roman"/>
                <w:color w:val="000000"/>
                <w:sz w:val="24"/>
                <w:szCs w:val="24"/>
              </w:rPr>
              <w:t>***</w:t>
            </w:r>
          </w:p>
        </w:tc>
        <w:tc>
          <w:tcPr>
            <w:tcW w:w="1417" w:type="dxa"/>
            <w:vAlign w:val="bottom"/>
          </w:tcPr>
          <w:p w14:paraId="53FFAB2F"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0.4037</w:t>
            </w:r>
            <w:r w:rsidRPr="009D475F">
              <w:rPr>
                <w:rFonts w:ascii="Times New Roman" w:hAnsi="Times New Roman" w:cs="Times New Roman"/>
                <w:color w:val="000000"/>
                <w:sz w:val="24"/>
                <w:szCs w:val="24"/>
              </w:rPr>
              <w:t>***</w:t>
            </w:r>
          </w:p>
        </w:tc>
        <w:tc>
          <w:tcPr>
            <w:tcW w:w="1418" w:type="dxa"/>
            <w:vAlign w:val="bottom"/>
          </w:tcPr>
          <w:p w14:paraId="1256FF7F"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0.4968</w:t>
            </w:r>
            <w:r w:rsidRPr="009D475F">
              <w:rPr>
                <w:rFonts w:ascii="Times New Roman" w:hAnsi="Times New Roman" w:cs="Times New Roman"/>
                <w:color w:val="000000"/>
                <w:sz w:val="24"/>
                <w:szCs w:val="24"/>
              </w:rPr>
              <w:t>***</w:t>
            </w:r>
          </w:p>
        </w:tc>
        <w:tc>
          <w:tcPr>
            <w:tcW w:w="1417" w:type="dxa"/>
            <w:vAlign w:val="bottom"/>
          </w:tcPr>
          <w:p w14:paraId="2E946150"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0.6553</w:t>
            </w:r>
            <w:r w:rsidRPr="009D475F">
              <w:rPr>
                <w:rFonts w:ascii="Times New Roman" w:hAnsi="Times New Roman" w:cs="Times New Roman"/>
                <w:color w:val="000000"/>
                <w:sz w:val="24"/>
                <w:szCs w:val="24"/>
              </w:rPr>
              <w:t>***</w:t>
            </w:r>
          </w:p>
        </w:tc>
        <w:tc>
          <w:tcPr>
            <w:tcW w:w="1418" w:type="dxa"/>
            <w:vAlign w:val="bottom"/>
          </w:tcPr>
          <w:p w14:paraId="0D65FA0E"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417" w:type="dxa"/>
            <w:vAlign w:val="bottom"/>
          </w:tcPr>
          <w:p w14:paraId="1C36A336" w14:textId="77777777" w:rsidR="007F18D1" w:rsidRPr="009D475F" w:rsidRDefault="007F18D1" w:rsidP="00BE06F5">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AA47AF" w14:paraId="596F869E" w14:textId="77777777" w:rsidTr="00071AA2">
        <w:trPr>
          <w:trHeight w:val="225"/>
        </w:trPr>
        <w:tc>
          <w:tcPr>
            <w:tcW w:w="1807" w:type="dxa"/>
            <w:vAlign w:val="bottom"/>
          </w:tcPr>
          <w:p w14:paraId="22450129" w14:textId="77777777" w:rsidR="007F18D1" w:rsidRPr="009D475F" w:rsidRDefault="007F18D1" w:rsidP="00BE06F5">
            <w:pPr>
              <w:autoSpaceDE w:val="0"/>
              <w:autoSpaceDN w:val="0"/>
              <w:adjustRightInd w:val="0"/>
              <w:spacing w:after="0" w:line="240" w:lineRule="auto"/>
              <w:rPr>
                <w:rFonts w:ascii="Times New Roman" w:hAnsi="Times New Roman" w:cs="Times New Roman"/>
                <w:color w:val="000000"/>
                <w:sz w:val="24"/>
                <w:szCs w:val="24"/>
              </w:rPr>
            </w:pPr>
          </w:p>
        </w:tc>
        <w:tc>
          <w:tcPr>
            <w:tcW w:w="1595" w:type="dxa"/>
            <w:vAlign w:val="bottom"/>
          </w:tcPr>
          <w:p w14:paraId="4C4A410F"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F0503A">
              <w:rPr>
                <w:rFonts w:ascii="Times New Roman" w:hAnsi="Times New Roman" w:cs="Times New Roman"/>
                <w:color w:val="000000"/>
                <w:sz w:val="24"/>
                <w:szCs w:val="24"/>
              </w:rPr>
              <w:t>11.123</w:t>
            </w:r>
            <w:r>
              <w:rPr>
                <w:rFonts w:ascii="Times New Roman" w:hAnsi="Times New Roman" w:cs="Times New Roman"/>
                <w:color w:val="000000"/>
                <w:sz w:val="24"/>
                <w:szCs w:val="24"/>
              </w:rPr>
              <w:t>]</w:t>
            </w:r>
          </w:p>
        </w:tc>
        <w:tc>
          <w:tcPr>
            <w:tcW w:w="1417" w:type="dxa"/>
            <w:vAlign w:val="bottom"/>
          </w:tcPr>
          <w:p w14:paraId="57AEBB02"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F0503A">
              <w:rPr>
                <w:rFonts w:ascii="Times New Roman" w:hAnsi="Times New Roman" w:cs="Times New Roman"/>
                <w:color w:val="000000"/>
                <w:sz w:val="24"/>
                <w:szCs w:val="24"/>
              </w:rPr>
              <w:t>9.8878</w:t>
            </w:r>
            <w:r>
              <w:rPr>
                <w:rFonts w:ascii="Times New Roman" w:hAnsi="Times New Roman" w:cs="Times New Roman"/>
                <w:color w:val="000000"/>
                <w:sz w:val="24"/>
                <w:szCs w:val="24"/>
              </w:rPr>
              <w:t>]</w:t>
            </w:r>
          </w:p>
        </w:tc>
        <w:tc>
          <w:tcPr>
            <w:tcW w:w="1418" w:type="dxa"/>
            <w:vAlign w:val="bottom"/>
          </w:tcPr>
          <w:p w14:paraId="65491E68"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F0503A">
              <w:rPr>
                <w:rFonts w:ascii="Times New Roman" w:hAnsi="Times New Roman" w:cs="Times New Roman"/>
                <w:color w:val="000000"/>
                <w:sz w:val="24"/>
                <w:szCs w:val="24"/>
              </w:rPr>
              <w:t>12.824</w:t>
            </w:r>
            <w:r>
              <w:rPr>
                <w:rFonts w:ascii="Times New Roman" w:hAnsi="Times New Roman" w:cs="Times New Roman"/>
                <w:color w:val="000000"/>
                <w:sz w:val="24"/>
                <w:szCs w:val="24"/>
              </w:rPr>
              <w:t>]</w:t>
            </w:r>
          </w:p>
        </w:tc>
        <w:tc>
          <w:tcPr>
            <w:tcW w:w="1417" w:type="dxa"/>
            <w:vAlign w:val="bottom"/>
          </w:tcPr>
          <w:p w14:paraId="41205E16"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F0503A">
              <w:rPr>
                <w:rFonts w:ascii="Times New Roman" w:hAnsi="Times New Roman" w:cs="Times New Roman"/>
                <w:color w:val="000000"/>
                <w:sz w:val="24"/>
                <w:szCs w:val="24"/>
              </w:rPr>
              <w:t>19.439</w:t>
            </w:r>
            <w:r>
              <w:rPr>
                <w:rFonts w:ascii="Times New Roman" w:hAnsi="Times New Roman" w:cs="Times New Roman"/>
                <w:color w:val="000000"/>
                <w:sz w:val="24"/>
                <w:szCs w:val="24"/>
              </w:rPr>
              <w:t>]</w:t>
            </w:r>
          </w:p>
        </w:tc>
        <w:tc>
          <w:tcPr>
            <w:tcW w:w="1418" w:type="dxa"/>
            <w:vAlign w:val="bottom"/>
          </w:tcPr>
          <w:p w14:paraId="11C657D3"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sidRPr="009D475F">
              <w:rPr>
                <w:rFonts w:ascii="Times New Roman" w:hAnsi="Times New Roman" w:cs="Times New Roman"/>
                <w:color w:val="000000"/>
                <w:sz w:val="24"/>
                <w:szCs w:val="24"/>
              </w:rPr>
              <w:t>-----</w:t>
            </w:r>
          </w:p>
        </w:tc>
        <w:tc>
          <w:tcPr>
            <w:tcW w:w="1417" w:type="dxa"/>
            <w:vAlign w:val="bottom"/>
          </w:tcPr>
          <w:p w14:paraId="0123E75D" w14:textId="77777777" w:rsidR="007F18D1" w:rsidRPr="009D475F" w:rsidRDefault="007F18D1" w:rsidP="00BE06F5">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AA47AF" w14:paraId="1D17B7F8" w14:textId="77777777" w:rsidTr="00071AA2">
        <w:trPr>
          <w:trHeight w:val="225"/>
        </w:trPr>
        <w:tc>
          <w:tcPr>
            <w:tcW w:w="1807" w:type="dxa"/>
            <w:vAlign w:val="bottom"/>
          </w:tcPr>
          <w:p w14:paraId="268C3F35" w14:textId="77777777" w:rsidR="007F18D1" w:rsidRPr="009D475F" w:rsidRDefault="00DF7D72" w:rsidP="00BE06F5">
            <w:pPr>
              <w:autoSpaceDE w:val="0"/>
              <w:autoSpaceDN w:val="0"/>
              <w:adjustRightInd w:val="0"/>
              <w:spacing w:after="0" w:line="240" w:lineRule="auto"/>
              <w:rPr>
                <w:rFonts w:ascii="Times New Roman" w:hAnsi="Times New Roman" w:cs="Times New Roman"/>
                <w:color w:val="000000"/>
                <w:sz w:val="24"/>
                <w:szCs w:val="24"/>
              </w:rPr>
            </w:pPr>
            <w:r w:rsidRPr="009D475F">
              <w:rPr>
                <w:rFonts w:ascii="Times New Roman" w:hAnsi="Times New Roman" w:cs="Times New Roman"/>
                <w:color w:val="000000"/>
                <w:sz w:val="24"/>
                <w:szCs w:val="24"/>
              </w:rPr>
              <w:t>REN </w:t>
            </w:r>
          </w:p>
        </w:tc>
        <w:tc>
          <w:tcPr>
            <w:tcW w:w="1595" w:type="dxa"/>
            <w:vAlign w:val="bottom"/>
          </w:tcPr>
          <w:p w14:paraId="6D619118"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-0.1049</w:t>
            </w:r>
            <w:r w:rsidRPr="009D475F">
              <w:rPr>
                <w:rFonts w:ascii="Times New Roman" w:hAnsi="Times New Roman" w:cs="Times New Roman"/>
                <w:color w:val="000000"/>
                <w:sz w:val="24"/>
                <w:szCs w:val="24"/>
              </w:rPr>
              <w:t>**</w:t>
            </w:r>
          </w:p>
        </w:tc>
        <w:tc>
          <w:tcPr>
            <w:tcW w:w="1417" w:type="dxa"/>
            <w:vAlign w:val="bottom"/>
          </w:tcPr>
          <w:p w14:paraId="53083270"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-0.1819</w:t>
            </w:r>
            <w:r w:rsidRPr="009D475F">
              <w:rPr>
                <w:rFonts w:ascii="Times New Roman" w:hAnsi="Times New Roman" w:cs="Times New Roman"/>
                <w:color w:val="000000"/>
                <w:sz w:val="24"/>
                <w:szCs w:val="24"/>
              </w:rPr>
              <w:t>***</w:t>
            </w:r>
          </w:p>
        </w:tc>
        <w:tc>
          <w:tcPr>
            <w:tcW w:w="1418" w:type="dxa"/>
            <w:vAlign w:val="bottom"/>
          </w:tcPr>
          <w:p w14:paraId="7C83E21A"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-0.0563</w:t>
            </w:r>
          </w:p>
        </w:tc>
        <w:tc>
          <w:tcPr>
            <w:tcW w:w="1417" w:type="dxa"/>
            <w:vAlign w:val="bottom"/>
          </w:tcPr>
          <w:p w14:paraId="6A860377"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-0.0616</w:t>
            </w:r>
          </w:p>
        </w:tc>
        <w:tc>
          <w:tcPr>
            <w:tcW w:w="1418" w:type="dxa"/>
            <w:vAlign w:val="bottom"/>
          </w:tcPr>
          <w:p w14:paraId="323FEE88"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0.3734</w:t>
            </w:r>
            <w:r w:rsidRPr="009D475F">
              <w:rPr>
                <w:rFonts w:ascii="Times New Roman" w:hAnsi="Times New Roman" w:cs="Times New Roman"/>
                <w:color w:val="000000"/>
                <w:sz w:val="24"/>
                <w:szCs w:val="24"/>
              </w:rPr>
              <w:t>***</w:t>
            </w:r>
          </w:p>
        </w:tc>
        <w:tc>
          <w:tcPr>
            <w:tcW w:w="1417" w:type="dxa"/>
            <w:vAlign w:val="bottom"/>
          </w:tcPr>
          <w:p w14:paraId="59AEAC60"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sidRPr="009D475F">
              <w:rPr>
                <w:rFonts w:ascii="Times New Roman" w:hAnsi="Times New Roman" w:cs="Times New Roman"/>
                <w:color w:val="000000"/>
                <w:sz w:val="24"/>
                <w:szCs w:val="24"/>
              </w:rPr>
              <w:t>1.0</w:t>
            </w:r>
            <w:r w:rsidR="00F0503A">
              <w:rPr>
                <w:rFonts w:ascii="Times New Roman" w:hAnsi="Times New Roman" w:cs="Times New Roman"/>
                <w:color w:val="000000"/>
                <w:sz w:val="24"/>
                <w:szCs w:val="24"/>
              </w:rPr>
              <w:t>000</w:t>
            </w:r>
          </w:p>
        </w:tc>
      </w:tr>
      <w:tr w:rsidR="00AA47AF" w14:paraId="2ACE5D8A" w14:textId="77777777" w:rsidTr="00071AA2">
        <w:trPr>
          <w:trHeight w:val="129"/>
        </w:trPr>
        <w:tc>
          <w:tcPr>
            <w:tcW w:w="1807" w:type="dxa"/>
            <w:tcBorders>
              <w:bottom w:val="single" w:sz="4" w:space="0" w:color="auto"/>
            </w:tcBorders>
            <w:vAlign w:val="bottom"/>
          </w:tcPr>
          <w:p w14:paraId="31F95772" w14:textId="77777777" w:rsidR="007F18D1" w:rsidRPr="009D475F" w:rsidRDefault="007F18D1" w:rsidP="00BE06F5">
            <w:pPr>
              <w:autoSpaceDE w:val="0"/>
              <w:autoSpaceDN w:val="0"/>
              <w:adjustRightInd w:val="0"/>
              <w:spacing w:after="0" w:line="240" w:lineRule="auto"/>
              <w:rPr>
                <w:rFonts w:ascii="Times New Roman" w:hAnsi="Times New Roman" w:cs="Times New Roman"/>
                <w:color w:val="000000"/>
                <w:sz w:val="24"/>
                <w:szCs w:val="24"/>
              </w:rPr>
            </w:pPr>
          </w:p>
        </w:tc>
        <w:tc>
          <w:tcPr>
            <w:tcW w:w="1595" w:type="dxa"/>
            <w:tcBorders>
              <w:bottom w:val="single" w:sz="4" w:space="0" w:color="auto"/>
            </w:tcBorders>
            <w:vAlign w:val="bottom"/>
          </w:tcPr>
          <w:p w14:paraId="459C8CA7"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F0503A">
              <w:rPr>
                <w:rFonts w:ascii="Times New Roman" w:hAnsi="Times New Roman" w:cs="Times New Roman"/>
                <w:color w:val="000000"/>
                <w:sz w:val="24"/>
                <w:szCs w:val="24"/>
              </w:rPr>
              <w:t>-2.36323]</w:t>
            </w:r>
          </w:p>
        </w:tc>
        <w:tc>
          <w:tcPr>
            <w:tcW w:w="1417" w:type="dxa"/>
            <w:tcBorders>
              <w:bottom w:val="single" w:sz="4" w:space="0" w:color="auto"/>
            </w:tcBorders>
            <w:vAlign w:val="bottom"/>
          </w:tcPr>
          <w:p w14:paraId="21CCAD26"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F0503A">
              <w:rPr>
                <w:rFonts w:ascii="Times New Roman" w:hAnsi="Times New Roman" w:cs="Times New Roman"/>
                <w:color w:val="000000"/>
                <w:sz w:val="24"/>
                <w:szCs w:val="24"/>
              </w:rPr>
              <w:t>-4.1459</w:t>
            </w:r>
            <w:r>
              <w:rPr>
                <w:rFonts w:ascii="Times New Roman" w:hAnsi="Times New Roman" w:cs="Times New Roman"/>
                <w:color w:val="000000"/>
                <w:sz w:val="24"/>
                <w:szCs w:val="24"/>
              </w:rPr>
              <w:t>]</w:t>
            </w:r>
          </w:p>
        </w:tc>
        <w:tc>
          <w:tcPr>
            <w:tcW w:w="1418" w:type="dxa"/>
            <w:tcBorders>
              <w:bottom w:val="single" w:sz="4" w:space="0" w:color="auto"/>
            </w:tcBorders>
            <w:vAlign w:val="bottom"/>
          </w:tcPr>
          <w:p w14:paraId="441B5369"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F0503A">
              <w:rPr>
                <w:rFonts w:ascii="Times New Roman" w:hAnsi="Times New Roman" w:cs="Times New Roman"/>
                <w:color w:val="000000"/>
                <w:sz w:val="24"/>
                <w:szCs w:val="24"/>
              </w:rPr>
              <w:t>-1.2638</w:t>
            </w:r>
            <w:r>
              <w:rPr>
                <w:rFonts w:ascii="Times New Roman" w:hAnsi="Times New Roman" w:cs="Times New Roman"/>
                <w:color w:val="000000"/>
                <w:sz w:val="24"/>
                <w:szCs w:val="24"/>
              </w:rPr>
              <w:t>]</w:t>
            </w:r>
          </w:p>
        </w:tc>
        <w:tc>
          <w:tcPr>
            <w:tcW w:w="1417" w:type="dxa"/>
            <w:tcBorders>
              <w:bottom w:val="single" w:sz="4" w:space="0" w:color="auto"/>
            </w:tcBorders>
            <w:vAlign w:val="bottom"/>
          </w:tcPr>
          <w:p w14:paraId="675BBD5B"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F0503A">
              <w:rPr>
                <w:rFonts w:ascii="Times New Roman" w:hAnsi="Times New Roman" w:cs="Times New Roman"/>
                <w:color w:val="000000"/>
                <w:sz w:val="24"/>
                <w:szCs w:val="24"/>
              </w:rPr>
              <w:t>-1.3823</w:t>
            </w:r>
            <w:r>
              <w:rPr>
                <w:rFonts w:ascii="Times New Roman" w:hAnsi="Times New Roman" w:cs="Times New Roman"/>
                <w:color w:val="000000"/>
                <w:sz w:val="24"/>
                <w:szCs w:val="24"/>
              </w:rPr>
              <w:t>]</w:t>
            </w:r>
          </w:p>
        </w:tc>
        <w:tc>
          <w:tcPr>
            <w:tcW w:w="1418" w:type="dxa"/>
            <w:tcBorders>
              <w:bottom w:val="single" w:sz="4" w:space="0" w:color="auto"/>
            </w:tcBorders>
            <w:vAlign w:val="bottom"/>
          </w:tcPr>
          <w:p w14:paraId="457C4092"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F0503A">
              <w:rPr>
                <w:rFonts w:ascii="Times New Roman" w:hAnsi="Times New Roman" w:cs="Times New Roman"/>
                <w:color w:val="000000"/>
                <w:sz w:val="24"/>
                <w:szCs w:val="24"/>
              </w:rPr>
              <w:t>9.0180</w:t>
            </w:r>
            <w:r>
              <w:rPr>
                <w:rFonts w:ascii="Times New Roman" w:hAnsi="Times New Roman" w:cs="Times New Roman"/>
                <w:color w:val="000000"/>
                <w:sz w:val="24"/>
                <w:szCs w:val="24"/>
              </w:rPr>
              <w:t>]</w:t>
            </w:r>
          </w:p>
        </w:tc>
        <w:tc>
          <w:tcPr>
            <w:tcW w:w="1417" w:type="dxa"/>
            <w:tcBorders>
              <w:bottom w:val="single" w:sz="4" w:space="0" w:color="auto"/>
            </w:tcBorders>
            <w:vAlign w:val="bottom"/>
          </w:tcPr>
          <w:p w14:paraId="4AC60C30" w14:textId="77777777" w:rsidR="007F18D1" w:rsidRPr="009D475F" w:rsidRDefault="00DF7D72" w:rsidP="00BE06F5">
            <w:pPr>
              <w:autoSpaceDE w:val="0"/>
              <w:autoSpaceDN w:val="0"/>
              <w:adjustRightInd w:val="0"/>
              <w:spacing w:after="0" w:line="240" w:lineRule="auto"/>
              <w:ind w:right="10"/>
              <w:jc w:val="center"/>
              <w:rPr>
                <w:rFonts w:ascii="Times New Roman" w:hAnsi="Times New Roman" w:cs="Times New Roman"/>
                <w:color w:val="000000"/>
                <w:sz w:val="24"/>
                <w:szCs w:val="24"/>
              </w:rPr>
            </w:pPr>
            <w:r w:rsidRPr="009D475F">
              <w:rPr>
                <w:rFonts w:ascii="Times New Roman" w:hAnsi="Times New Roman" w:cs="Times New Roman"/>
                <w:color w:val="000000"/>
                <w:sz w:val="24"/>
                <w:szCs w:val="24"/>
              </w:rPr>
              <w:t>-----</w:t>
            </w:r>
          </w:p>
        </w:tc>
      </w:tr>
    </w:tbl>
    <w:p w14:paraId="49E73147" w14:textId="77777777" w:rsidR="000722C8" w:rsidRDefault="00DF7D72" w:rsidP="000722C8">
      <w:pPr>
        <w:spacing w:line="240" w:lineRule="auto"/>
        <w:ind w:firstLine="720"/>
      </w:pPr>
      <w:r w:rsidRPr="000722C8">
        <w:rPr>
          <w:rFonts w:ascii="Times New Roman" w:hAnsi="Times New Roman" w:cs="Times New Roman"/>
          <w:b/>
          <w:sz w:val="20"/>
          <w:szCs w:val="20"/>
        </w:rPr>
        <w:t>Note:</w:t>
      </w:r>
      <w:r w:rsidRPr="00B56CB6">
        <w:rPr>
          <w:rFonts w:ascii="Times New Roman" w:hAnsi="Times New Roman" w:cs="Times New Roman"/>
          <w:sz w:val="20"/>
          <w:szCs w:val="20"/>
        </w:rPr>
        <w:t xml:space="preserve"> *</w:t>
      </w:r>
      <w:r>
        <w:rPr>
          <w:rFonts w:ascii="Times New Roman" w:hAnsi="Times New Roman" w:cs="Times New Roman"/>
          <w:sz w:val="20"/>
          <w:szCs w:val="20"/>
        </w:rPr>
        <w:t>* and ***</w:t>
      </w:r>
      <w:r w:rsidRPr="00B56CB6">
        <w:rPr>
          <w:rFonts w:ascii="Times New Roman" w:hAnsi="Times New Roman" w:cs="Times New Roman"/>
          <w:sz w:val="20"/>
          <w:szCs w:val="20"/>
        </w:rPr>
        <w:t xml:space="preserve"> de</w:t>
      </w:r>
      <w:r>
        <w:rPr>
          <w:rFonts w:ascii="Times New Roman" w:hAnsi="Times New Roman" w:cs="Times New Roman"/>
          <w:sz w:val="20"/>
          <w:szCs w:val="20"/>
        </w:rPr>
        <w:t>note significance levels at</w:t>
      </w:r>
      <w:r w:rsidRPr="00B56CB6">
        <w:rPr>
          <w:rFonts w:ascii="Times New Roman" w:hAnsi="Times New Roman" w:cs="Times New Roman"/>
          <w:sz w:val="20"/>
          <w:szCs w:val="20"/>
        </w:rPr>
        <w:t xml:space="preserve"> 5% and 1% respectively.</w:t>
      </w:r>
    </w:p>
    <w:p w14:paraId="455A48D5" w14:textId="77777777" w:rsidR="007F18D1" w:rsidRPr="000722C8" w:rsidRDefault="007F18D1" w:rsidP="000722C8">
      <w:pPr>
        <w:tabs>
          <w:tab w:val="left" w:pos="810"/>
        </w:tabs>
        <w:rPr>
          <w:rFonts w:ascii="Times New Roman" w:hAnsi="Times New Roman" w:cs="Times New Roman"/>
          <w:sz w:val="24"/>
          <w:szCs w:val="24"/>
        </w:rPr>
        <w:sectPr w:rsidR="007F18D1" w:rsidRPr="000722C8" w:rsidSect="007F18D1">
          <w:pgSz w:w="16838" w:h="11906" w:orient="landscape"/>
          <w:pgMar w:top="1440" w:right="1440" w:bottom="1440" w:left="1440" w:header="709" w:footer="709" w:gutter="0"/>
          <w:cols w:space="708"/>
          <w:docGrid w:linePitch="360"/>
        </w:sectPr>
      </w:pPr>
    </w:p>
    <w:p w14:paraId="33A8FDA1" w14:textId="77777777" w:rsidR="007F18D1" w:rsidRDefault="007F18D1" w:rsidP="00BE06F5">
      <w:pPr>
        <w:spacing w:line="240" w:lineRule="auto"/>
        <w:rPr>
          <w:rFonts w:ascii="Times New Roman" w:hAnsi="Times New Roman" w:cs="Times New Roman"/>
          <w:sz w:val="24"/>
          <w:szCs w:val="24"/>
        </w:rPr>
      </w:pPr>
    </w:p>
    <w:p w14:paraId="7516D2B1" w14:textId="77777777" w:rsidR="003E6D5B" w:rsidRPr="001E601A" w:rsidRDefault="00DF7D72" w:rsidP="003E6D5B">
      <w:pPr>
        <w:spacing w:line="240" w:lineRule="auto"/>
        <w:jc w:val="both"/>
        <w:rPr>
          <w:rFonts w:ascii="Times New Roman" w:hAnsi="Times New Roman" w:cs="Times New Roman"/>
          <w:sz w:val="24"/>
          <w:szCs w:val="24"/>
        </w:rPr>
      </w:pPr>
      <w:r w:rsidRPr="001E601A">
        <w:rPr>
          <w:rFonts w:ascii="Times New Roman" w:hAnsi="Times New Roman" w:cs="Times New Roman"/>
          <w:sz w:val="24"/>
          <w:szCs w:val="24"/>
        </w:rPr>
        <w:t>Table 3: Panel Unit Root Tests</w:t>
      </w:r>
    </w:p>
    <w:tbl>
      <w:tblPr>
        <w:tblW w:w="8790" w:type="dxa"/>
        <w:jc w:val="center"/>
        <w:tblLook w:val="04A0" w:firstRow="1" w:lastRow="0" w:firstColumn="1" w:lastColumn="0" w:noHBand="0" w:noVBand="1"/>
      </w:tblPr>
      <w:tblGrid>
        <w:gridCol w:w="2558"/>
        <w:gridCol w:w="3377"/>
        <w:gridCol w:w="2855"/>
      </w:tblGrid>
      <w:tr w:rsidR="00AA47AF" w14:paraId="493E3A19" w14:textId="77777777" w:rsidTr="00830E72">
        <w:trPr>
          <w:trHeight w:val="300"/>
          <w:jc w:val="center"/>
        </w:trPr>
        <w:tc>
          <w:tcPr>
            <w:tcW w:w="8790" w:type="dxa"/>
            <w:gridSpan w:val="3"/>
            <w:tcBorders>
              <w:top w:val="single" w:sz="4" w:space="0" w:color="auto"/>
            </w:tcBorders>
            <w:shd w:val="clear" w:color="auto" w:fill="auto"/>
            <w:noWrap/>
            <w:vAlign w:val="center"/>
          </w:tcPr>
          <w:p w14:paraId="079DBBE7" w14:textId="77777777" w:rsidR="003E6D5B" w:rsidRPr="00160097" w:rsidRDefault="00DF7D72" w:rsidP="00830E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IM-Pesaran-Shin Unit Root Test</w:t>
            </w:r>
          </w:p>
        </w:tc>
      </w:tr>
      <w:tr w:rsidR="00AA47AF" w14:paraId="026BB909" w14:textId="77777777" w:rsidTr="00830E72">
        <w:trPr>
          <w:trHeight w:val="300"/>
          <w:jc w:val="center"/>
        </w:trPr>
        <w:tc>
          <w:tcPr>
            <w:tcW w:w="2558" w:type="dxa"/>
            <w:tcBorders>
              <w:bottom w:val="single" w:sz="4" w:space="0" w:color="auto"/>
            </w:tcBorders>
            <w:shd w:val="clear" w:color="auto" w:fill="auto"/>
            <w:noWrap/>
            <w:vAlign w:val="center"/>
          </w:tcPr>
          <w:p w14:paraId="7347BF39" w14:textId="77777777" w:rsidR="003E6D5B" w:rsidRPr="00160097" w:rsidRDefault="003E6D5B" w:rsidP="00830E72">
            <w:pPr>
              <w:spacing w:after="0" w:line="240" w:lineRule="auto"/>
              <w:rPr>
                <w:rFonts w:ascii="Times New Roman" w:hAnsi="Times New Roman" w:cs="Times New Roman"/>
                <w:sz w:val="24"/>
                <w:szCs w:val="24"/>
              </w:rPr>
            </w:pPr>
          </w:p>
        </w:tc>
        <w:tc>
          <w:tcPr>
            <w:tcW w:w="3377" w:type="dxa"/>
            <w:tcBorders>
              <w:bottom w:val="single" w:sz="4" w:space="0" w:color="auto"/>
            </w:tcBorders>
            <w:shd w:val="clear" w:color="auto" w:fill="auto"/>
            <w:noWrap/>
            <w:vAlign w:val="center"/>
          </w:tcPr>
          <w:p w14:paraId="227FEE5C" w14:textId="77777777" w:rsidR="003E6D5B" w:rsidRPr="00160097" w:rsidRDefault="00DF7D72" w:rsidP="00830E72">
            <w:pPr>
              <w:spacing w:after="0" w:line="240" w:lineRule="auto"/>
              <w:rPr>
                <w:rFonts w:ascii="Times New Roman" w:hAnsi="Times New Roman" w:cs="Times New Roman"/>
                <w:sz w:val="24"/>
                <w:szCs w:val="24"/>
              </w:rPr>
            </w:pPr>
            <w:r w:rsidRPr="00160097">
              <w:rPr>
                <w:rFonts w:ascii="Times New Roman" w:hAnsi="Times New Roman" w:cs="Times New Roman"/>
                <w:sz w:val="24"/>
                <w:szCs w:val="24"/>
              </w:rPr>
              <w:t>At Levels</w:t>
            </w:r>
          </w:p>
        </w:tc>
        <w:tc>
          <w:tcPr>
            <w:tcW w:w="2855" w:type="dxa"/>
            <w:tcBorders>
              <w:bottom w:val="single" w:sz="4" w:space="0" w:color="auto"/>
            </w:tcBorders>
            <w:shd w:val="clear" w:color="auto" w:fill="auto"/>
            <w:noWrap/>
            <w:vAlign w:val="center"/>
          </w:tcPr>
          <w:p w14:paraId="20E8149E" w14:textId="77777777" w:rsidR="003E6D5B" w:rsidRPr="00160097" w:rsidRDefault="00DF7D72" w:rsidP="00830E72">
            <w:pPr>
              <w:spacing w:after="0" w:line="240" w:lineRule="auto"/>
              <w:rPr>
                <w:rFonts w:ascii="Times New Roman" w:hAnsi="Times New Roman" w:cs="Times New Roman"/>
                <w:sz w:val="24"/>
                <w:szCs w:val="24"/>
              </w:rPr>
            </w:pPr>
            <w:r w:rsidRPr="00160097">
              <w:rPr>
                <w:rFonts w:ascii="Times New Roman" w:hAnsi="Times New Roman" w:cs="Times New Roman"/>
                <w:sz w:val="24"/>
                <w:szCs w:val="24"/>
              </w:rPr>
              <w:t>First Difference</w:t>
            </w:r>
          </w:p>
        </w:tc>
      </w:tr>
      <w:tr w:rsidR="00AA47AF" w14:paraId="7003B013" w14:textId="77777777" w:rsidTr="00830E72">
        <w:trPr>
          <w:trHeight w:val="300"/>
          <w:jc w:val="center"/>
        </w:trPr>
        <w:tc>
          <w:tcPr>
            <w:tcW w:w="2558" w:type="dxa"/>
            <w:tcBorders>
              <w:top w:val="single" w:sz="4" w:space="0" w:color="auto"/>
            </w:tcBorders>
            <w:shd w:val="clear" w:color="auto" w:fill="auto"/>
            <w:noWrap/>
            <w:vAlign w:val="center"/>
          </w:tcPr>
          <w:p w14:paraId="79A63441" w14:textId="77777777" w:rsidR="003E6D5B" w:rsidRPr="00160097" w:rsidRDefault="00DF7D72" w:rsidP="00830E72">
            <w:pPr>
              <w:spacing w:after="0" w:line="240" w:lineRule="auto"/>
              <w:rPr>
                <w:rFonts w:ascii="Times New Roman" w:hAnsi="Times New Roman" w:cs="Times New Roman"/>
                <w:sz w:val="24"/>
                <w:szCs w:val="24"/>
              </w:rPr>
            </w:pPr>
            <w:r w:rsidRPr="00160097">
              <w:rPr>
                <w:rFonts w:ascii="Times New Roman" w:hAnsi="Times New Roman" w:cs="Times New Roman"/>
                <w:sz w:val="24"/>
                <w:szCs w:val="24"/>
              </w:rPr>
              <w:t>Variable</w:t>
            </w:r>
          </w:p>
        </w:tc>
        <w:tc>
          <w:tcPr>
            <w:tcW w:w="3377" w:type="dxa"/>
            <w:tcBorders>
              <w:top w:val="single" w:sz="4" w:space="0" w:color="auto"/>
            </w:tcBorders>
            <w:shd w:val="clear" w:color="auto" w:fill="auto"/>
            <w:noWrap/>
            <w:vAlign w:val="center"/>
          </w:tcPr>
          <w:p w14:paraId="782FA556" w14:textId="77777777" w:rsidR="003E6D5B" w:rsidRPr="00160097" w:rsidRDefault="00DF7D72" w:rsidP="00830E72">
            <w:pPr>
              <w:spacing w:after="0" w:line="240" w:lineRule="auto"/>
              <w:rPr>
                <w:rFonts w:ascii="Times New Roman" w:hAnsi="Times New Roman" w:cs="Times New Roman"/>
                <w:sz w:val="24"/>
                <w:szCs w:val="24"/>
              </w:rPr>
            </w:pPr>
            <w:r>
              <w:rPr>
                <w:rFonts w:ascii="Times New Roman" w:hAnsi="Times New Roman" w:cs="Times New Roman"/>
                <w:sz w:val="24"/>
                <w:szCs w:val="24"/>
              </w:rPr>
              <w:t>Statistic</w:t>
            </w:r>
          </w:p>
        </w:tc>
        <w:tc>
          <w:tcPr>
            <w:tcW w:w="2855" w:type="dxa"/>
            <w:tcBorders>
              <w:top w:val="single" w:sz="4" w:space="0" w:color="auto"/>
            </w:tcBorders>
            <w:shd w:val="clear" w:color="auto" w:fill="auto"/>
            <w:noWrap/>
            <w:vAlign w:val="center"/>
          </w:tcPr>
          <w:p w14:paraId="56E6D199" w14:textId="77777777" w:rsidR="003E6D5B" w:rsidRPr="00160097" w:rsidRDefault="00DF7D72" w:rsidP="00830E72">
            <w:pPr>
              <w:spacing w:after="0" w:line="240" w:lineRule="auto"/>
              <w:rPr>
                <w:rFonts w:ascii="Times New Roman" w:hAnsi="Times New Roman" w:cs="Times New Roman"/>
                <w:sz w:val="24"/>
                <w:szCs w:val="24"/>
              </w:rPr>
            </w:pPr>
            <w:r>
              <w:rPr>
                <w:rFonts w:ascii="Times New Roman" w:hAnsi="Times New Roman" w:cs="Times New Roman"/>
                <w:sz w:val="24"/>
                <w:szCs w:val="24"/>
              </w:rPr>
              <w:t>Statistic</w:t>
            </w:r>
          </w:p>
        </w:tc>
      </w:tr>
      <w:tr w:rsidR="00AA47AF" w14:paraId="74014377" w14:textId="77777777" w:rsidTr="00830E72">
        <w:trPr>
          <w:trHeight w:val="300"/>
          <w:jc w:val="center"/>
        </w:trPr>
        <w:tc>
          <w:tcPr>
            <w:tcW w:w="2558" w:type="dxa"/>
            <w:shd w:val="clear" w:color="auto" w:fill="auto"/>
            <w:noWrap/>
            <w:vAlign w:val="center"/>
            <w:hideMark/>
          </w:tcPr>
          <w:p w14:paraId="5886AC68" w14:textId="77777777" w:rsidR="003E6D5B" w:rsidRPr="00160097" w:rsidRDefault="00DF7D72" w:rsidP="00830E72">
            <w:pPr>
              <w:spacing w:after="0" w:line="240" w:lineRule="auto"/>
              <w:rPr>
                <w:rFonts w:ascii="Times New Roman" w:hAnsi="Times New Roman" w:cs="Times New Roman"/>
                <w:sz w:val="24"/>
                <w:szCs w:val="24"/>
              </w:rPr>
            </w:pPr>
            <w:r>
              <w:rPr>
                <w:position w:val="-4"/>
              </w:rPr>
              <w:object w:dxaOrig="360" w:dyaOrig="255" w14:anchorId="0F7A0ED8">
                <v:shape id="_x0000_i1047" type="#_x0000_t75" style="width:18pt;height:12.75pt" o:ole="">
                  <v:imagedata r:id="rId58" o:title=""/>
                </v:shape>
                <o:OLEObject Type="Embed" ProgID="Equation.DSMT4" ShapeID="_x0000_i1047" DrawAspect="Content" ObjectID="_1770110308" r:id="rId59"/>
              </w:object>
            </w:r>
          </w:p>
        </w:tc>
        <w:tc>
          <w:tcPr>
            <w:tcW w:w="3377" w:type="dxa"/>
            <w:shd w:val="clear" w:color="auto" w:fill="auto"/>
            <w:noWrap/>
            <w:vAlign w:val="center"/>
            <w:hideMark/>
          </w:tcPr>
          <w:p w14:paraId="4190F403" w14:textId="77777777" w:rsidR="003E6D5B" w:rsidRPr="00160097" w:rsidRDefault="00DF7D72" w:rsidP="00830E72">
            <w:pPr>
              <w:spacing w:after="0" w:line="240" w:lineRule="auto"/>
              <w:rPr>
                <w:rFonts w:ascii="Times New Roman" w:hAnsi="Times New Roman" w:cs="Times New Roman"/>
                <w:sz w:val="24"/>
                <w:szCs w:val="24"/>
              </w:rPr>
            </w:pPr>
            <w:r w:rsidRPr="006E5BA9">
              <w:rPr>
                <w:rFonts w:ascii="Times New Roman" w:hAnsi="Times New Roman" w:cs="Times New Roman"/>
                <w:sz w:val="24"/>
                <w:szCs w:val="24"/>
              </w:rPr>
              <w:t>-4.6840</w:t>
            </w:r>
            <w:r w:rsidRPr="006E5BA9">
              <w:rPr>
                <w:rFonts w:ascii="Times New Roman" w:hAnsi="Times New Roman" w:cs="Times New Roman"/>
                <w:sz w:val="24"/>
                <w:szCs w:val="24"/>
                <w:vertAlign w:val="superscript"/>
              </w:rPr>
              <w:t>***</w:t>
            </w:r>
          </w:p>
        </w:tc>
        <w:tc>
          <w:tcPr>
            <w:tcW w:w="2855" w:type="dxa"/>
            <w:shd w:val="clear" w:color="auto" w:fill="auto"/>
            <w:noWrap/>
            <w:vAlign w:val="center"/>
            <w:hideMark/>
          </w:tcPr>
          <w:p w14:paraId="70EDF5F2" w14:textId="77777777" w:rsidR="003E6D5B" w:rsidRPr="00160097" w:rsidRDefault="00DF7D72" w:rsidP="00830E72">
            <w:pPr>
              <w:spacing w:after="0" w:line="240" w:lineRule="auto"/>
              <w:rPr>
                <w:rFonts w:ascii="Times New Roman" w:hAnsi="Times New Roman" w:cs="Times New Roman"/>
                <w:sz w:val="24"/>
                <w:szCs w:val="24"/>
              </w:rPr>
            </w:pPr>
            <w:r>
              <w:rPr>
                <w:rFonts w:ascii="Times New Roman" w:hAnsi="Times New Roman" w:cs="Times New Roman"/>
                <w:sz w:val="24"/>
                <w:szCs w:val="24"/>
              </w:rPr>
              <w:t>-23.6043</w:t>
            </w:r>
            <w:r w:rsidRPr="00160097">
              <w:rPr>
                <w:rFonts w:ascii="Times New Roman" w:hAnsi="Times New Roman" w:cs="Times New Roman"/>
                <w:sz w:val="24"/>
                <w:szCs w:val="24"/>
                <w:vertAlign w:val="superscript"/>
              </w:rPr>
              <w:t>***</w:t>
            </w:r>
          </w:p>
        </w:tc>
      </w:tr>
      <w:tr w:rsidR="00AA47AF" w14:paraId="3AAFE609" w14:textId="77777777" w:rsidTr="00830E72">
        <w:trPr>
          <w:trHeight w:val="300"/>
          <w:jc w:val="center"/>
        </w:trPr>
        <w:tc>
          <w:tcPr>
            <w:tcW w:w="2558" w:type="dxa"/>
            <w:shd w:val="clear" w:color="auto" w:fill="auto"/>
            <w:noWrap/>
            <w:vAlign w:val="bottom"/>
            <w:hideMark/>
          </w:tcPr>
          <w:p w14:paraId="6F86247D" w14:textId="77777777" w:rsidR="003E6D5B" w:rsidRPr="00235732" w:rsidRDefault="00DF7D72" w:rsidP="00830E72">
            <w:pPr>
              <w:autoSpaceDE w:val="0"/>
              <w:autoSpaceDN w:val="0"/>
              <w:adjustRightInd w:val="0"/>
              <w:spacing w:after="0" w:line="240" w:lineRule="auto"/>
              <w:rPr>
                <w:rFonts w:ascii="Times New Roman" w:hAnsi="Times New Roman" w:cs="Times New Roman"/>
                <w:color w:val="000000"/>
                <w:sz w:val="24"/>
                <w:szCs w:val="24"/>
              </w:rPr>
            </w:pPr>
            <w:r>
              <w:rPr>
                <w:position w:val="-4"/>
              </w:rPr>
              <w:object w:dxaOrig="780" w:dyaOrig="255" w14:anchorId="58982E2A">
                <v:shape id="_x0000_i1048" type="#_x0000_t75" style="width:39pt;height:12.75pt" o:ole="">
                  <v:imagedata r:id="rId60" o:title=""/>
                </v:shape>
                <o:OLEObject Type="Embed" ProgID="Equation.DSMT4" ShapeID="_x0000_i1048" DrawAspect="Content" ObjectID="_1770110309" r:id="rId61"/>
              </w:object>
            </w:r>
          </w:p>
        </w:tc>
        <w:tc>
          <w:tcPr>
            <w:tcW w:w="3377" w:type="dxa"/>
            <w:shd w:val="clear" w:color="auto" w:fill="auto"/>
            <w:noWrap/>
            <w:vAlign w:val="center"/>
            <w:hideMark/>
          </w:tcPr>
          <w:p w14:paraId="0832BDC9" w14:textId="77777777" w:rsidR="003E6D5B" w:rsidRPr="00160097" w:rsidRDefault="00DF7D72" w:rsidP="00830E72">
            <w:pPr>
              <w:spacing w:after="0" w:line="240" w:lineRule="auto"/>
              <w:rPr>
                <w:rFonts w:ascii="Times New Roman" w:hAnsi="Times New Roman" w:cs="Times New Roman"/>
                <w:sz w:val="24"/>
                <w:szCs w:val="24"/>
              </w:rPr>
            </w:pPr>
            <w:r w:rsidRPr="006E5BA9">
              <w:rPr>
                <w:rFonts w:ascii="Times New Roman" w:hAnsi="Times New Roman" w:cs="Times New Roman"/>
                <w:sz w:val="24"/>
                <w:szCs w:val="24"/>
              </w:rPr>
              <w:t>-6.3954</w:t>
            </w:r>
            <w:r w:rsidRPr="006E5BA9">
              <w:rPr>
                <w:rFonts w:ascii="Times New Roman" w:hAnsi="Times New Roman" w:cs="Times New Roman"/>
                <w:sz w:val="24"/>
                <w:szCs w:val="24"/>
                <w:vertAlign w:val="superscript"/>
              </w:rPr>
              <w:t>***</w:t>
            </w:r>
          </w:p>
        </w:tc>
        <w:tc>
          <w:tcPr>
            <w:tcW w:w="2855" w:type="dxa"/>
            <w:shd w:val="clear" w:color="auto" w:fill="auto"/>
            <w:noWrap/>
            <w:vAlign w:val="center"/>
            <w:hideMark/>
          </w:tcPr>
          <w:p w14:paraId="1DA76A90" w14:textId="77777777" w:rsidR="003E6D5B" w:rsidRPr="00160097" w:rsidRDefault="00DF7D72" w:rsidP="00830E72">
            <w:pPr>
              <w:spacing w:after="0" w:line="240" w:lineRule="auto"/>
              <w:rPr>
                <w:rFonts w:ascii="Times New Roman" w:hAnsi="Times New Roman" w:cs="Times New Roman"/>
                <w:sz w:val="24"/>
                <w:szCs w:val="24"/>
              </w:rPr>
            </w:pPr>
            <w:r>
              <w:rPr>
                <w:rFonts w:ascii="Times New Roman" w:hAnsi="Times New Roman" w:cs="Times New Roman"/>
                <w:sz w:val="24"/>
                <w:szCs w:val="24"/>
              </w:rPr>
              <w:t>-14.3250</w:t>
            </w:r>
            <w:r w:rsidRPr="00160097">
              <w:rPr>
                <w:rFonts w:ascii="Times New Roman" w:hAnsi="Times New Roman" w:cs="Times New Roman"/>
                <w:sz w:val="24"/>
                <w:szCs w:val="24"/>
                <w:vertAlign w:val="superscript"/>
              </w:rPr>
              <w:t>***</w:t>
            </w:r>
          </w:p>
        </w:tc>
      </w:tr>
      <w:tr w:rsidR="00AA47AF" w14:paraId="15257CBA" w14:textId="77777777" w:rsidTr="00830E72">
        <w:trPr>
          <w:trHeight w:val="300"/>
          <w:jc w:val="center"/>
        </w:trPr>
        <w:tc>
          <w:tcPr>
            <w:tcW w:w="2558" w:type="dxa"/>
            <w:shd w:val="clear" w:color="auto" w:fill="auto"/>
            <w:noWrap/>
            <w:vAlign w:val="bottom"/>
            <w:hideMark/>
          </w:tcPr>
          <w:p w14:paraId="0918CB4D" w14:textId="77777777" w:rsidR="003E6D5B" w:rsidRPr="00235732" w:rsidRDefault="00DF7D72" w:rsidP="00830E72">
            <w:pPr>
              <w:autoSpaceDE w:val="0"/>
              <w:autoSpaceDN w:val="0"/>
              <w:adjustRightInd w:val="0"/>
              <w:spacing w:after="0" w:line="240" w:lineRule="auto"/>
              <w:rPr>
                <w:rFonts w:ascii="Times New Roman" w:hAnsi="Times New Roman" w:cs="Times New Roman"/>
                <w:color w:val="000000"/>
                <w:sz w:val="24"/>
                <w:szCs w:val="24"/>
              </w:rPr>
            </w:pPr>
            <w:r>
              <w:rPr>
                <w:position w:val="-4"/>
              </w:rPr>
              <w:object w:dxaOrig="900" w:dyaOrig="255" w14:anchorId="612FD5DA">
                <v:shape id="_x0000_i1049" type="#_x0000_t75" style="width:45pt;height:12.75pt" o:ole="">
                  <v:imagedata r:id="rId62" o:title=""/>
                </v:shape>
                <o:OLEObject Type="Embed" ProgID="Equation.DSMT4" ShapeID="_x0000_i1049" DrawAspect="Content" ObjectID="_1770110310" r:id="rId63"/>
              </w:object>
            </w:r>
          </w:p>
        </w:tc>
        <w:tc>
          <w:tcPr>
            <w:tcW w:w="3377" w:type="dxa"/>
            <w:shd w:val="clear" w:color="auto" w:fill="auto"/>
            <w:noWrap/>
            <w:vAlign w:val="center"/>
            <w:hideMark/>
          </w:tcPr>
          <w:p w14:paraId="173C0F42" w14:textId="77777777" w:rsidR="003E6D5B" w:rsidRPr="00160097" w:rsidRDefault="00DF7D72" w:rsidP="00830E72">
            <w:pPr>
              <w:spacing w:after="0" w:line="240" w:lineRule="auto"/>
              <w:rPr>
                <w:rFonts w:ascii="Times New Roman" w:hAnsi="Times New Roman" w:cs="Times New Roman"/>
                <w:sz w:val="24"/>
                <w:szCs w:val="24"/>
              </w:rPr>
            </w:pPr>
            <w:r w:rsidRPr="006E5BA9">
              <w:rPr>
                <w:rFonts w:ascii="Times New Roman" w:hAnsi="Times New Roman" w:cs="Times New Roman"/>
                <w:sz w:val="24"/>
                <w:szCs w:val="24"/>
              </w:rPr>
              <w:t>-1.5102</w:t>
            </w:r>
          </w:p>
        </w:tc>
        <w:tc>
          <w:tcPr>
            <w:tcW w:w="2855" w:type="dxa"/>
            <w:shd w:val="clear" w:color="auto" w:fill="auto"/>
            <w:noWrap/>
            <w:vAlign w:val="center"/>
            <w:hideMark/>
          </w:tcPr>
          <w:p w14:paraId="762218FC" w14:textId="77777777" w:rsidR="003E6D5B" w:rsidRPr="00160097" w:rsidRDefault="00DF7D72" w:rsidP="00830E72">
            <w:pPr>
              <w:spacing w:after="0" w:line="240" w:lineRule="auto"/>
              <w:rPr>
                <w:rFonts w:ascii="Times New Roman" w:hAnsi="Times New Roman" w:cs="Times New Roman"/>
                <w:sz w:val="24"/>
                <w:szCs w:val="24"/>
              </w:rPr>
            </w:pPr>
            <w:r w:rsidRPr="00B76453">
              <w:rPr>
                <w:rFonts w:ascii="Times New Roman" w:hAnsi="Times New Roman" w:cs="Times New Roman"/>
                <w:sz w:val="24"/>
                <w:szCs w:val="24"/>
              </w:rPr>
              <w:t>-9.8631</w:t>
            </w:r>
            <w:r w:rsidRPr="00160097">
              <w:rPr>
                <w:rFonts w:ascii="Times New Roman" w:hAnsi="Times New Roman" w:cs="Times New Roman"/>
                <w:sz w:val="24"/>
                <w:szCs w:val="24"/>
                <w:vertAlign w:val="superscript"/>
              </w:rPr>
              <w:t>***</w:t>
            </w:r>
          </w:p>
        </w:tc>
      </w:tr>
      <w:tr w:rsidR="00AA47AF" w14:paraId="26E3863F" w14:textId="77777777" w:rsidTr="00830E72">
        <w:trPr>
          <w:trHeight w:val="300"/>
          <w:jc w:val="center"/>
        </w:trPr>
        <w:tc>
          <w:tcPr>
            <w:tcW w:w="2558" w:type="dxa"/>
            <w:shd w:val="clear" w:color="auto" w:fill="auto"/>
            <w:noWrap/>
            <w:vAlign w:val="bottom"/>
            <w:hideMark/>
          </w:tcPr>
          <w:p w14:paraId="5A2EA4BD" w14:textId="77777777" w:rsidR="003E6D5B" w:rsidRPr="00235732" w:rsidRDefault="00DF7D72" w:rsidP="00830E72">
            <w:pPr>
              <w:autoSpaceDE w:val="0"/>
              <w:autoSpaceDN w:val="0"/>
              <w:adjustRightInd w:val="0"/>
              <w:spacing w:after="0" w:line="240" w:lineRule="auto"/>
              <w:rPr>
                <w:rFonts w:ascii="Times New Roman" w:hAnsi="Times New Roman" w:cs="Times New Roman"/>
                <w:color w:val="000000"/>
                <w:sz w:val="24"/>
                <w:szCs w:val="24"/>
              </w:rPr>
            </w:pPr>
            <w:r>
              <w:rPr>
                <w:position w:val="-6"/>
              </w:rPr>
              <w:object w:dxaOrig="735" w:dyaOrig="285" w14:anchorId="032BE8D0">
                <v:shape id="_x0000_i1050" type="#_x0000_t75" style="width:36.75pt;height:14.25pt" o:ole="">
                  <v:imagedata r:id="rId64" o:title=""/>
                </v:shape>
                <o:OLEObject Type="Embed" ProgID="Equation.DSMT4" ShapeID="_x0000_i1050" DrawAspect="Content" ObjectID="_1770110311" r:id="rId65"/>
              </w:object>
            </w:r>
          </w:p>
        </w:tc>
        <w:tc>
          <w:tcPr>
            <w:tcW w:w="3377" w:type="dxa"/>
            <w:shd w:val="clear" w:color="auto" w:fill="auto"/>
            <w:noWrap/>
            <w:vAlign w:val="center"/>
            <w:hideMark/>
          </w:tcPr>
          <w:p w14:paraId="4A72D734" w14:textId="77777777" w:rsidR="003E6D5B" w:rsidRPr="00160097" w:rsidRDefault="00DF7D72" w:rsidP="00830E72">
            <w:pPr>
              <w:spacing w:after="0" w:line="240" w:lineRule="auto"/>
              <w:rPr>
                <w:rFonts w:ascii="Times New Roman" w:hAnsi="Times New Roman" w:cs="Times New Roman"/>
                <w:sz w:val="24"/>
                <w:szCs w:val="24"/>
              </w:rPr>
            </w:pPr>
            <w:r w:rsidRPr="006E5BA9">
              <w:rPr>
                <w:rFonts w:ascii="Times New Roman" w:hAnsi="Times New Roman" w:cs="Times New Roman"/>
                <w:sz w:val="24"/>
                <w:szCs w:val="24"/>
              </w:rPr>
              <w:t>-2.4099</w:t>
            </w:r>
            <w:r w:rsidRPr="006E5BA9">
              <w:rPr>
                <w:rFonts w:ascii="Times New Roman" w:hAnsi="Times New Roman" w:cs="Times New Roman"/>
                <w:sz w:val="24"/>
                <w:szCs w:val="24"/>
                <w:vertAlign w:val="superscript"/>
              </w:rPr>
              <w:t>**</w:t>
            </w:r>
          </w:p>
        </w:tc>
        <w:tc>
          <w:tcPr>
            <w:tcW w:w="2855" w:type="dxa"/>
            <w:shd w:val="clear" w:color="auto" w:fill="auto"/>
            <w:noWrap/>
            <w:vAlign w:val="center"/>
            <w:hideMark/>
          </w:tcPr>
          <w:p w14:paraId="32B6B8FD" w14:textId="77777777" w:rsidR="003E6D5B" w:rsidRPr="00160097" w:rsidRDefault="00DF7D72" w:rsidP="00830E72">
            <w:pPr>
              <w:spacing w:after="0" w:line="240" w:lineRule="auto"/>
              <w:rPr>
                <w:rFonts w:ascii="Times New Roman" w:hAnsi="Times New Roman" w:cs="Times New Roman"/>
                <w:sz w:val="24"/>
                <w:szCs w:val="24"/>
              </w:rPr>
            </w:pPr>
            <w:r>
              <w:rPr>
                <w:rFonts w:ascii="Times New Roman" w:hAnsi="Times New Roman" w:cs="Times New Roman"/>
                <w:sz w:val="24"/>
                <w:szCs w:val="24"/>
              </w:rPr>
              <w:t>-8.4510</w:t>
            </w:r>
            <w:r w:rsidRPr="00160097">
              <w:rPr>
                <w:rFonts w:ascii="Times New Roman" w:hAnsi="Times New Roman" w:cs="Times New Roman"/>
                <w:sz w:val="24"/>
                <w:szCs w:val="24"/>
                <w:vertAlign w:val="superscript"/>
              </w:rPr>
              <w:t>***</w:t>
            </w:r>
          </w:p>
        </w:tc>
      </w:tr>
      <w:tr w:rsidR="00AA47AF" w14:paraId="5D7F4F02" w14:textId="77777777" w:rsidTr="00830E72">
        <w:trPr>
          <w:trHeight w:val="300"/>
          <w:jc w:val="center"/>
        </w:trPr>
        <w:tc>
          <w:tcPr>
            <w:tcW w:w="2558" w:type="dxa"/>
            <w:shd w:val="clear" w:color="auto" w:fill="auto"/>
            <w:noWrap/>
            <w:vAlign w:val="bottom"/>
          </w:tcPr>
          <w:p w14:paraId="01A1EB8B" w14:textId="77777777" w:rsidR="003E6D5B" w:rsidRPr="00235732" w:rsidRDefault="00DF7D72" w:rsidP="00830E72">
            <w:pPr>
              <w:autoSpaceDE w:val="0"/>
              <w:autoSpaceDN w:val="0"/>
              <w:adjustRightInd w:val="0"/>
              <w:spacing w:after="0" w:line="240" w:lineRule="auto"/>
              <w:rPr>
                <w:rFonts w:ascii="Times New Roman" w:hAnsi="Times New Roman" w:cs="Times New Roman"/>
                <w:sz w:val="24"/>
                <w:szCs w:val="24"/>
              </w:rPr>
            </w:pPr>
            <w:r>
              <w:rPr>
                <w:position w:val="-6"/>
              </w:rPr>
              <w:object w:dxaOrig="645" w:dyaOrig="285" w14:anchorId="468F1428">
                <v:shape id="_x0000_i1051" type="#_x0000_t75" style="width:32.25pt;height:14.25pt" o:ole="">
                  <v:imagedata r:id="rId66" o:title=""/>
                </v:shape>
                <o:OLEObject Type="Embed" ProgID="Equation.DSMT4" ShapeID="_x0000_i1051" DrawAspect="Content" ObjectID="_1770110312" r:id="rId67"/>
              </w:object>
            </w:r>
          </w:p>
        </w:tc>
        <w:tc>
          <w:tcPr>
            <w:tcW w:w="3377" w:type="dxa"/>
            <w:shd w:val="clear" w:color="auto" w:fill="auto"/>
            <w:noWrap/>
            <w:vAlign w:val="center"/>
          </w:tcPr>
          <w:p w14:paraId="3BD5E001" w14:textId="77777777" w:rsidR="003E6D5B" w:rsidRPr="00160097" w:rsidRDefault="00DF7D72" w:rsidP="00830E72">
            <w:pPr>
              <w:spacing w:after="0" w:line="240" w:lineRule="auto"/>
              <w:rPr>
                <w:rFonts w:ascii="Times New Roman" w:hAnsi="Times New Roman" w:cs="Times New Roman"/>
                <w:sz w:val="24"/>
                <w:szCs w:val="24"/>
              </w:rPr>
            </w:pPr>
            <w:r w:rsidRPr="00B76453">
              <w:rPr>
                <w:rFonts w:ascii="Times New Roman" w:hAnsi="Times New Roman" w:cs="Times New Roman"/>
                <w:sz w:val="24"/>
                <w:szCs w:val="24"/>
              </w:rPr>
              <w:t>0.3275</w:t>
            </w:r>
          </w:p>
        </w:tc>
        <w:tc>
          <w:tcPr>
            <w:tcW w:w="2855" w:type="dxa"/>
            <w:shd w:val="clear" w:color="auto" w:fill="auto"/>
            <w:noWrap/>
            <w:vAlign w:val="center"/>
          </w:tcPr>
          <w:p w14:paraId="16FF5C29" w14:textId="77777777" w:rsidR="003E6D5B" w:rsidRPr="00160097" w:rsidRDefault="00DF7D72" w:rsidP="00830E72">
            <w:pPr>
              <w:spacing w:after="0" w:line="240" w:lineRule="auto"/>
              <w:rPr>
                <w:rFonts w:ascii="Times New Roman" w:hAnsi="Times New Roman" w:cs="Times New Roman"/>
                <w:sz w:val="24"/>
                <w:szCs w:val="24"/>
              </w:rPr>
            </w:pPr>
            <w:r>
              <w:rPr>
                <w:rFonts w:ascii="Times New Roman" w:hAnsi="Times New Roman" w:cs="Times New Roman"/>
                <w:sz w:val="24"/>
                <w:szCs w:val="24"/>
              </w:rPr>
              <w:t>-6.1815</w:t>
            </w:r>
            <w:r w:rsidRPr="00160097">
              <w:rPr>
                <w:rFonts w:ascii="Times New Roman" w:hAnsi="Times New Roman" w:cs="Times New Roman"/>
                <w:sz w:val="24"/>
                <w:szCs w:val="24"/>
                <w:vertAlign w:val="superscript"/>
              </w:rPr>
              <w:t>***</w:t>
            </w:r>
          </w:p>
        </w:tc>
      </w:tr>
      <w:tr w:rsidR="00AA47AF" w14:paraId="7A57AF85" w14:textId="77777777" w:rsidTr="00830E72">
        <w:trPr>
          <w:trHeight w:val="300"/>
          <w:jc w:val="center"/>
        </w:trPr>
        <w:tc>
          <w:tcPr>
            <w:tcW w:w="2558" w:type="dxa"/>
            <w:shd w:val="clear" w:color="auto" w:fill="auto"/>
            <w:noWrap/>
            <w:vAlign w:val="bottom"/>
          </w:tcPr>
          <w:p w14:paraId="7806EFD1" w14:textId="77777777" w:rsidR="003E6D5B" w:rsidRDefault="00DF7D72" w:rsidP="00830E72">
            <w:pPr>
              <w:autoSpaceDE w:val="0"/>
              <w:autoSpaceDN w:val="0"/>
              <w:adjustRightInd w:val="0"/>
              <w:spacing w:after="0" w:line="240" w:lineRule="auto"/>
            </w:pPr>
            <w:r>
              <w:rPr>
                <w:position w:val="-6"/>
              </w:rPr>
              <w:object w:dxaOrig="555" w:dyaOrig="285" w14:anchorId="7A051CE5">
                <v:shape id="_x0000_i1052" type="#_x0000_t75" style="width:27pt;height:14.25pt" o:ole="">
                  <v:imagedata r:id="rId68" o:title=""/>
                </v:shape>
                <o:OLEObject Type="Embed" ProgID="Equation.DSMT4" ShapeID="_x0000_i1052" DrawAspect="Content" ObjectID="_1770110313" r:id="rId69"/>
              </w:object>
            </w:r>
          </w:p>
        </w:tc>
        <w:tc>
          <w:tcPr>
            <w:tcW w:w="3377" w:type="dxa"/>
            <w:shd w:val="clear" w:color="auto" w:fill="auto"/>
            <w:noWrap/>
            <w:vAlign w:val="center"/>
          </w:tcPr>
          <w:p w14:paraId="3D2B1AF0" w14:textId="77777777" w:rsidR="003E6D5B" w:rsidRDefault="00DF7D72" w:rsidP="00830E72">
            <w:pPr>
              <w:spacing w:after="0" w:line="240" w:lineRule="auto"/>
              <w:rPr>
                <w:rFonts w:ascii="Times New Roman" w:hAnsi="Times New Roman" w:cs="Times New Roman"/>
                <w:sz w:val="24"/>
                <w:szCs w:val="24"/>
              </w:rPr>
            </w:pPr>
            <w:r w:rsidRPr="00B76453">
              <w:rPr>
                <w:rFonts w:ascii="Times New Roman" w:hAnsi="Times New Roman" w:cs="Times New Roman"/>
                <w:sz w:val="24"/>
                <w:szCs w:val="24"/>
              </w:rPr>
              <w:t>-0.0086</w:t>
            </w:r>
          </w:p>
        </w:tc>
        <w:tc>
          <w:tcPr>
            <w:tcW w:w="2855" w:type="dxa"/>
            <w:shd w:val="clear" w:color="auto" w:fill="auto"/>
            <w:noWrap/>
            <w:vAlign w:val="center"/>
          </w:tcPr>
          <w:p w14:paraId="39B54653" w14:textId="77777777" w:rsidR="003E6D5B" w:rsidRDefault="00DF7D72" w:rsidP="00830E72">
            <w:pPr>
              <w:spacing w:after="0" w:line="240" w:lineRule="auto"/>
              <w:rPr>
                <w:rFonts w:ascii="Times New Roman" w:hAnsi="Times New Roman" w:cs="Times New Roman"/>
                <w:sz w:val="24"/>
                <w:szCs w:val="24"/>
              </w:rPr>
            </w:pPr>
            <w:r w:rsidRPr="008B5B58">
              <w:rPr>
                <w:rFonts w:ascii="Times New Roman" w:hAnsi="Times New Roman" w:cs="Times New Roman"/>
                <w:sz w:val="24"/>
                <w:szCs w:val="24"/>
              </w:rPr>
              <w:t>-7.0263</w:t>
            </w:r>
            <w:r w:rsidRPr="008B5B58">
              <w:rPr>
                <w:rFonts w:ascii="Times New Roman" w:hAnsi="Times New Roman" w:cs="Times New Roman"/>
                <w:sz w:val="24"/>
                <w:szCs w:val="24"/>
                <w:vertAlign w:val="superscript"/>
              </w:rPr>
              <w:t>***</w:t>
            </w:r>
          </w:p>
        </w:tc>
      </w:tr>
      <w:tr w:rsidR="00AA47AF" w14:paraId="36F7CBBC" w14:textId="77777777" w:rsidTr="00830E72">
        <w:trPr>
          <w:trHeight w:val="300"/>
          <w:jc w:val="center"/>
        </w:trPr>
        <w:tc>
          <w:tcPr>
            <w:tcW w:w="8790" w:type="dxa"/>
            <w:gridSpan w:val="3"/>
            <w:shd w:val="clear" w:color="auto" w:fill="auto"/>
            <w:noWrap/>
            <w:vAlign w:val="center"/>
          </w:tcPr>
          <w:p w14:paraId="10F58B90" w14:textId="77777777" w:rsidR="003E6D5B" w:rsidRPr="00160097" w:rsidRDefault="00DF7D72" w:rsidP="00830E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CIPS Unit Root Test</w:t>
            </w:r>
          </w:p>
        </w:tc>
      </w:tr>
      <w:tr w:rsidR="00AA47AF" w14:paraId="155065F8" w14:textId="77777777" w:rsidTr="00830E72">
        <w:trPr>
          <w:trHeight w:val="300"/>
          <w:jc w:val="center"/>
        </w:trPr>
        <w:tc>
          <w:tcPr>
            <w:tcW w:w="2558" w:type="dxa"/>
            <w:shd w:val="clear" w:color="auto" w:fill="auto"/>
            <w:noWrap/>
            <w:vAlign w:val="center"/>
          </w:tcPr>
          <w:p w14:paraId="5B4FBC85" w14:textId="77777777" w:rsidR="003E6D5B" w:rsidRPr="00160097" w:rsidRDefault="003E6D5B" w:rsidP="00830E72">
            <w:pPr>
              <w:spacing w:after="0" w:line="240" w:lineRule="auto"/>
              <w:rPr>
                <w:rFonts w:ascii="Times New Roman" w:hAnsi="Times New Roman" w:cs="Times New Roman"/>
                <w:sz w:val="24"/>
                <w:szCs w:val="24"/>
              </w:rPr>
            </w:pPr>
          </w:p>
        </w:tc>
        <w:tc>
          <w:tcPr>
            <w:tcW w:w="3377" w:type="dxa"/>
            <w:shd w:val="clear" w:color="auto" w:fill="auto"/>
            <w:noWrap/>
            <w:vAlign w:val="center"/>
          </w:tcPr>
          <w:p w14:paraId="1D001043" w14:textId="77777777" w:rsidR="003E6D5B" w:rsidRPr="00160097" w:rsidRDefault="00DF7D72" w:rsidP="00830E72">
            <w:pPr>
              <w:spacing w:after="0" w:line="240" w:lineRule="auto"/>
              <w:rPr>
                <w:rFonts w:ascii="Times New Roman" w:hAnsi="Times New Roman" w:cs="Times New Roman"/>
                <w:sz w:val="24"/>
                <w:szCs w:val="24"/>
              </w:rPr>
            </w:pPr>
            <w:r w:rsidRPr="00160097">
              <w:rPr>
                <w:rFonts w:ascii="Times New Roman" w:hAnsi="Times New Roman" w:cs="Times New Roman"/>
                <w:sz w:val="24"/>
                <w:szCs w:val="24"/>
              </w:rPr>
              <w:t>At Levels</w:t>
            </w:r>
          </w:p>
        </w:tc>
        <w:tc>
          <w:tcPr>
            <w:tcW w:w="2855" w:type="dxa"/>
            <w:shd w:val="clear" w:color="auto" w:fill="auto"/>
            <w:noWrap/>
            <w:vAlign w:val="center"/>
          </w:tcPr>
          <w:p w14:paraId="267C9AEE" w14:textId="77777777" w:rsidR="003E6D5B" w:rsidRPr="00160097" w:rsidRDefault="00DF7D72" w:rsidP="00830E72">
            <w:pPr>
              <w:spacing w:after="0" w:line="240" w:lineRule="auto"/>
              <w:rPr>
                <w:rFonts w:ascii="Times New Roman" w:hAnsi="Times New Roman" w:cs="Times New Roman"/>
                <w:sz w:val="24"/>
                <w:szCs w:val="24"/>
              </w:rPr>
            </w:pPr>
            <w:r w:rsidRPr="00160097">
              <w:rPr>
                <w:rFonts w:ascii="Times New Roman" w:hAnsi="Times New Roman" w:cs="Times New Roman"/>
                <w:sz w:val="24"/>
                <w:szCs w:val="24"/>
              </w:rPr>
              <w:t>First Difference</w:t>
            </w:r>
          </w:p>
        </w:tc>
      </w:tr>
      <w:tr w:rsidR="00AA47AF" w14:paraId="69C6781E" w14:textId="77777777" w:rsidTr="00830E72">
        <w:trPr>
          <w:trHeight w:val="300"/>
          <w:jc w:val="center"/>
        </w:trPr>
        <w:tc>
          <w:tcPr>
            <w:tcW w:w="2558" w:type="dxa"/>
            <w:shd w:val="clear" w:color="auto" w:fill="auto"/>
            <w:noWrap/>
            <w:vAlign w:val="center"/>
          </w:tcPr>
          <w:p w14:paraId="486495D6" w14:textId="77777777" w:rsidR="003E6D5B" w:rsidRPr="00160097" w:rsidRDefault="00DF7D72" w:rsidP="00830E72">
            <w:pPr>
              <w:spacing w:after="0" w:line="240" w:lineRule="auto"/>
              <w:rPr>
                <w:rFonts w:ascii="Times New Roman" w:hAnsi="Times New Roman" w:cs="Times New Roman"/>
                <w:sz w:val="24"/>
                <w:szCs w:val="24"/>
              </w:rPr>
            </w:pPr>
            <w:r>
              <w:rPr>
                <w:position w:val="-4"/>
              </w:rPr>
              <w:object w:dxaOrig="360" w:dyaOrig="255" w14:anchorId="31327048">
                <v:shape id="_x0000_i1053" type="#_x0000_t75" style="width:18pt;height:12.75pt" o:ole="">
                  <v:imagedata r:id="rId58" o:title=""/>
                </v:shape>
                <o:OLEObject Type="Embed" ProgID="Equation.DSMT4" ShapeID="_x0000_i1053" DrawAspect="Content" ObjectID="_1770110314" r:id="rId70"/>
              </w:object>
            </w:r>
          </w:p>
        </w:tc>
        <w:tc>
          <w:tcPr>
            <w:tcW w:w="3377" w:type="dxa"/>
            <w:shd w:val="clear" w:color="auto" w:fill="auto"/>
            <w:noWrap/>
            <w:vAlign w:val="center"/>
          </w:tcPr>
          <w:p w14:paraId="55D51C2A" w14:textId="77777777" w:rsidR="003E6D5B" w:rsidRPr="00160097" w:rsidRDefault="00DF7D72" w:rsidP="00830E72">
            <w:pPr>
              <w:spacing w:after="0" w:line="240" w:lineRule="auto"/>
              <w:rPr>
                <w:rFonts w:ascii="Times New Roman" w:hAnsi="Times New Roman" w:cs="Times New Roman"/>
                <w:sz w:val="24"/>
                <w:szCs w:val="24"/>
              </w:rPr>
            </w:pPr>
            <w:r>
              <w:rPr>
                <w:rFonts w:ascii="Times New Roman" w:hAnsi="Times New Roman" w:cs="Times New Roman"/>
                <w:sz w:val="24"/>
                <w:szCs w:val="24"/>
              </w:rPr>
              <w:t>-2.585</w:t>
            </w:r>
            <w:r w:rsidRPr="00D12C8F">
              <w:rPr>
                <w:rFonts w:ascii="Times New Roman" w:hAnsi="Times New Roman" w:cs="Times New Roman"/>
                <w:sz w:val="24"/>
                <w:szCs w:val="24"/>
                <w:vertAlign w:val="superscript"/>
              </w:rPr>
              <w:t>*</w:t>
            </w:r>
          </w:p>
        </w:tc>
        <w:tc>
          <w:tcPr>
            <w:tcW w:w="2855" w:type="dxa"/>
            <w:shd w:val="clear" w:color="auto" w:fill="auto"/>
            <w:noWrap/>
            <w:vAlign w:val="center"/>
          </w:tcPr>
          <w:p w14:paraId="6BA666E6" w14:textId="77777777" w:rsidR="003E6D5B" w:rsidRPr="00160097" w:rsidRDefault="00DF7D72" w:rsidP="00830E72">
            <w:pPr>
              <w:spacing w:after="0" w:line="240" w:lineRule="auto"/>
              <w:rPr>
                <w:rFonts w:ascii="Times New Roman" w:hAnsi="Times New Roman" w:cs="Times New Roman"/>
                <w:sz w:val="24"/>
                <w:szCs w:val="24"/>
              </w:rPr>
            </w:pPr>
            <w:r w:rsidRPr="008B5B58">
              <w:rPr>
                <w:rFonts w:ascii="Times New Roman" w:hAnsi="Times New Roman" w:cs="Times New Roman"/>
                <w:sz w:val="24"/>
                <w:szCs w:val="24"/>
              </w:rPr>
              <w:t>-5.982</w:t>
            </w:r>
            <w:r w:rsidRPr="00160097">
              <w:rPr>
                <w:rFonts w:ascii="Times New Roman" w:hAnsi="Times New Roman" w:cs="Times New Roman"/>
                <w:sz w:val="24"/>
                <w:szCs w:val="24"/>
                <w:vertAlign w:val="superscript"/>
              </w:rPr>
              <w:t>***</w:t>
            </w:r>
          </w:p>
        </w:tc>
      </w:tr>
      <w:tr w:rsidR="00AA47AF" w14:paraId="716BC320" w14:textId="77777777" w:rsidTr="00830E72">
        <w:trPr>
          <w:trHeight w:val="300"/>
          <w:jc w:val="center"/>
        </w:trPr>
        <w:tc>
          <w:tcPr>
            <w:tcW w:w="2558" w:type="dxa"/>
            <w:shd w:val="clear" w:color="auto" w:fill="auto"/>
            <w:noWrap/>
            <w:vAlign w:val="bottom"/>
          </w:tcPr>
          <w:p w14:paraId="7DFB0CC2" w14:textId="77777777" w:rsidR="003E6D5B" w:rsidRPr="00235732" w:rsidRDefault="00DF7D72" w:rsidP="00830E72">
            <w:pPr>
              <w:autoSpaceDE w:val="0"/>
              <w:autoSpaceDN w:val="0"/>
              <w:adjustRightInd w:val="0"/>
              <w:spacing w:after="0" w:line="240" w:lineRule="auto"/>
              <w:rPr>
                <w:rFonts w:ascii="Times New Roman" w:hAnsi="Times New Roman" w:cs="Times New Roman"/>
                <w:color w:val="000000"/>
                <w:sz w:val="24"/>
                <w:szCs w:val="24"/>
              </w:rPr>
            </w:pPr>
            <w:r>
              <w:rPr>
                <w:position w:val="-4"/>
              </w:rPr>
              <w:object w:dxaOrig="780" w:dyaOrig="255" w14:anchorId="770A53FE">
                <v:shape id="_x0000_i1054" type="#_x0000_t75" style="width:39pt;height:12.75pt" o:ole="">
                  <v:imagedata r:id="rId60" o:title=""/>
                </v:shape>
                <o:OLEObject Type="Embed" ProgID="Equation.DSMT4" ShapeID="_x0000_i1054" DrawAspect="Content" ObjectID="_1770110315" r:id="rId71"/>
              </w:object>
            </w:r>
          </w:p>
        </w:tc>
        <w:tc>
          <w:tcPr>
            <w:tcW w:w="3377" w:type="dxa"/>
            <w:shd w:val="clear" w:color="auto" w:fill="auto"/>
            <w:noWrap/>
            <w:vAlign w:val="center"/>
          </w:tcPr>
          <w:p w14:paraId="232563F7" w14:textId="77777777" w:rsidR="003E6D5B" w:rsidRPr="00160097" w:rsidRDefault="00DF7D72" w:rsidP="00830E72">
            <w:pPr>
              <w:spacing w:after="0" w:line="240" w:lineRule="auto"/>
              <w:rPr>
                <w:rFonts w:ascii="Times New Roman" w:hAnsi="Times New Roman" w:cs="Times New Roman"/>
                <w:sz w:val="24"/>
                <w:szCs w:val="24"/>
              </w:rPr>
            </w:pPr>
            <w:r w:rsidRPr="008B5B58">
              <w:rPr>
                <w:rFonts w:ascii="Times New Roman" w:hAnsi="Times New Roman" w:cs="Times New Roman"/>
                <w:sz w:val="24"/>
                <w:szCs w:val="24"/>
              </w:rPr>
              <w:t>-2.559</w:t>
            </w:r>
          </w:p>
        </w:tc>
        <w:tc>
          <w:tcPr>
            <w:tcW w:w="2855" w:type="dxa"/>
            <w:shd w:val="clear" w:color="auto" w:fill="auto"/>
            <w:noWrap/>
            <w:vAlign w:val="center"/>
          </w:tcPr>
          <w:p w14:paraId="6C78CD60" w14:textId="77777777" w:rsidR="003E6D5B" w:rsidRPr="00160097" w:rsidRDefault="00DF7D72" w:rsidP="00830E72">
            <w:pPr>
              <w:spacing w:after="0" w:line="240" w:lineRule="auto"/>
              <w:rPr>
                <w:rFonts w:ascii="Times New Roman" w:hAnsi="Times New Roman" w:cs="Times New Roman"/>
                <w:sz w:val="24"/>
                <w:szCs w:val="24"/>
              </w:rPr>
            </w:pPr>
            <w:r>
              <w:rPr>
                <w:rFonts w:ascii="Times New Roman" w:hAnsi="Times New Roman" w:cs="Times New Roman"/>
                <w:sz w:val="24"/>
                <w:szCs w:val="24"/>
              </w:rPr>
              <w:t>-3.511</w:t>
            </w:r>
            <w:r w:rsidRPr="00160097">
              <w:rPr>
                <w:rFonts w:ascii="Times New Roman" w:hAnsi="Times New Roman" w:cs="Times New Roman"/>
                <w:sz w:val="24"/>
                <w:szCs w:val="24"/>
                <w:vertAlign w:val="superscript"/>
              </w:rPr>
              <w:t>***</w:t>
            </w:r>
          </w:p>
        </w:tc>
      </w:tr>
      <w:tr w:rsidR="00AA47AF" w14:paraId="6115EB72" w14:textId="77777777" w:rsidTr="00830E72">
        <w:trPr>
          <w:trHeight w:val="300"/>
          <w:jc w:val="center"/>
        </w:trPr>
        <w:tc>
          <w:tcPr>
            <w:tcW w:w="2558" w:type="dxa"/>
            <w:shd w:val="clear" w:color="auto" w:fill="auto"/>
            <w:noWrap/>
            <w:vAlign w:val="bottom"/>
          </w:tcPr>
          <w:p w14:paraId="4E298827" w14:textId="77777777" w:rsidR="003E6D5B" w:rsidRPr="00235732" w:rsidRDefault="00DF7D72" w:rsidP="00830E72">
            <w:pPr>
              <w:autoSpaceDE w:val="0"/>
              <w:autoSpaceDN w:val="0"/>
              <w:adjustRightInd w:val="0"/>
              <w:spacing w:after="0" w:line="240" w:lineRule="auto"/>
              <w:rPr>
                <w:rFonts w:ascii="Times New Roman" w:hAnsi="Times New Roman" w:cs="Times New Roman"/>
                <w:color w:val="000000"/>
                <w:sz w:val="24"/>
                <w:szCs w:val="24"/>
              </w:rPr>
            </w:pPr>
            <w:r>
              <w:rPr>
                <w:position w:val="-4"/>
              </w:rPr>
              <w:object w:dxaOrig="900" w:dyaOrig="255" w14:anchorId="62452F4F">
                <v:shape id="_x0000_i1055" type="#_x0000_t75" style="width:45pt;height:12.75pt" o:ole="">
                  <v:imagedata r:id="rId62" o:title=""/>
                </v:shape>
                <o:OLEObject Type="Embed" ProgID="Equation.DSMT4" ShapeID="_x0000_i1055" DrawAspect="Content" ObjectID="_1770110316" r:id="rId72"/>
              </w:object>
            </w:r>
          </w:p>
        </w:tc>
        <w:tc>
          <w:tcPr>
            <w:tcW w:w="3377" w:type="dxa"/>
            <w:shd w:val="clear" w:color="auto" w:fill="auto"/>
            <w:noWrap/>
            <w:vAlign w:val="center"/>
          </w:tcPr>
          <w:p w14:paraId="2A591ECE" w14:textId="77777777" w:rsidR="003E6D5B" w:rsidRPr="00160097" w:rsidRDefault="00DF7D72" w:rsidP="00830E72">
            <w:pPr>
              <w:spacing w:after="0" w:line="240" w:lineRule="auto"/>
              <w:rPr>
                <w:rFonts w:ascii="Times New Roman" w:hAnsi="Times New Roman" w:cs="Times New Roman"/>
                <w:sz w:val="24"/>
                <w:szCs w:val="24"/>
              </w:rPr>
            </w:pPr>
            <w:r w:rsidRPr="008B5B58">
              <w:rPr>
                <w:rFonts w:ascii="Times New Roman" w:hAnsi="Times New Roman" w:cs="Times New Roman"/>
                <w:sz w:val="24"/>
                <w:szCs w:val="24"/>
              </w:rPr>
              <w:t>-1.895</w:t>
            </w:r>
          </w:p>
        </w:tc>
        <w:tc>
          <w:tcPr>
            <w:tcW w:w="2855" w:type="dxa"/>
            <w:shd w:val="clear" w:color="auto" w:fill="auto"/>
            <w:noWrap/>
            <w:vAlign w:val="center"/>
          </w:tcPr>
          <w:p w14:paraId="37FF881F" w14:textId="77777777" w:rsidR="003E6D5B" w:rsidRPr="00160097" w:rsidRDefault="00DF7D72" w:rsidP="00830E72">
            <w:pPr>
              <w:spacing w:after="0" w:line="240" w:lineRule="auto"/>
              <w:rPr>
                <w:rFonts w:ascii="Times New Roman" w:hAnsi="Times New Roman" w:cs="Times New Roman"/>
                <w:sz w:val="24"/>
                <w:szCs w:val="24"/>
              </w:rPr>
            </w:pPr>
            <w:r w:rsidRPr="008B5B58">
              <w:rPr>
                <w:rFonts w:ascii="Times New Roman" w:hAnsi="Times New Roman" w:cs="Times New Roman"/>
                <w:sz w:val="24"/>
                <w:szCs w:val="24"/>
              </w:rPr>
              <w:t>-3.481</w:t>
            </w:r>
            <w:r w:rsidRPr="00160097">
              <w:rPr>
                <w:rFonts w:ascii="Times New Roman" w:hAnsi="Times New Roman" w:cs="Times New Roman"/>
                <w:sz w:val="24"/>
                <w:szCs w:val="24"/>
                <w:vertAlign w:val="superscript"/>
              </w:rPr>
              <w:t>***</w:t>
            </w:r>
          </w:p>
        </w:tc>
      </w:tr>
      <w:tr w:rsidR="00AA47AF" w14:paraId="13E23C54" w14:textId="77777777" w:rsidTr="00830E72">
        <w:trPr>
          <w:trHeight w:val="300"/>
          <w:jc w:val="center"/>
        </w:trPr>
        <w:tc>
          <w:tcPr>
            <w:tcW w:w="2558" w:type="dxa"/>
            <w:shd w:val="clear" w:color="auto" w:fill="auto"/>
            <w:noWrap/>
            <w:vAlign w:val="bottom"/>
          </w:tcPr>
          <w:p w14:paraId="20F65A9E" w14:textId="77777777" w:rsidR="003E6D5B" w:rsidRPr="00235732" w:rsidRDefault="00DF7D72" w:rsidP="00830E72">
            <w:pPr>
              <w:autoSpaceDE w:val="0"/>
              <w:autoSpaceDN w:val="0"/>
              <w:adjustRightInd w:val="0"/>
              <w:spacing w:after="0" w:line="240" w:lineRule="auto"/>
              <w:rPr>
                <w:rFonts w:ascii="Times New Roman" w:hAnsi="Times New Roman" w:cs="Times New Roman"/>
                <w:color w:val="000000"/>
                <w:sz w:val="24"/>
                <w:szCs w:val="24"/>
              </w:rPr>
            </w:pPr>
            <w:r>
              <w:rPr>
                <w:position w:val="-6"/>
              </w:rPr>
              <w:object w:dxaOrig="735" w:dyaOrig="285" w14:anchorId="1334C33E">
                <v:shape id="_x0000_i1056" type="#_x0000_t75" style="width:36.75pt;height:14.25pt" o:ole="">
                  <v:imagedata r:id="rId64" o:title=""/>
                </v:shape>
                <o:OLEObject Type="Embed" ProgID="Equation.DSMT4" ShapeID="_x0000_i1056" DrawAspect="Content" ObjectID="_1770110317" r:id="rId73"/>
              </w:object>
            </w:r>
          </w:p>
        </w:tc>
        <w:tc>
          <w:tcPr>
            <w:tcW w:w="3377" w:type="dxa"/>
            <w:shd w:val="clear" w:color="auto" w:fill="auto"/>
            <w:noWrap/>
            <w:vAlign w:val="center"/>
          </w:tcPr>
          <w:p w14:paraId="25FF2FF3" w14:textId="77777777" w:rsidR="003E6D5B" w:rsidRPr="00160097" w:rsidRDefault="00DF7D72" w:rsidP="00830E72">
            <w:pPr>
              <w:spacing w:after="0" w:line="240" w:lineRule="auto"/>
              <w:rPr>
                <w:rFonts w:ascii="Times New Roman" w:hAnsi="Times New Roman" w:cs="Times New Roman"/>
                <w:sz w:val="24"/>
                <w:szCs w:val="24"/>
              </w:rPr>
            </w:pPr>
            <w:r w:rsidRPr="008B5B58">
              <w:rPr>
                <w:rFonts w:ascii="Times New Roman" w:hAnsi="Times New Roman" w:cs="Times New Roman"/>
                <w:sz w:val="24"/>
                <w:szCs w:val="24"/>
              </w:rPr>
              <w:t>-1.736</w:t>
            </w:r>
          </w:p>
        </w:tc>
        <w:tc>
          <w:tcPr>
            <w:tcW w:w="2855" w:type="dxa"/>
            <w:shd w:val="clear" w:color="auto" w:fill="auto"/>
            <w:noWrap/>
            <w:vAlign w:val="center"/>
          </w:tcPr>
          <w:p w14:paraId="49DF3ADE" w14:textId="77777777" w:rsidR="003E6D5B" w:rsidRPr="00160097" w:rsidRDefault="00DF7D72" w:rsidP="00830E72">
            <w:pPr>
              <w:spacing w:after="0" w:line="240" w:lineRule="auto"/>
              <w:rPr>
                <w:rFonts w:ascii="Times New Roman" w:hAnsi="Times New Roman" w:cs="Times New Roman"/>
                <w:sz w:val="24"/>
                <w:szCs w:val="24"/>
              </w:rPr>
            </w:pPr>
            <w:r>
              <w:rPr>
                <w:rFonts w:ascii="Times New Roman" w:hAnsi="Times New Roman" w:cs="Times New Roman"/>
                <w:sz w:val="24"/>
                <w:szCs w:val="24"/>
              </w:rPr>
              <w:t>-3.080</w:t>
            </w:r>
            <w:r w:rsidRPr="00160097">
              <w:rPr>
                <w:rFonts w:ascii="Times New Roman" w:hAnsi="Times New Roman" w:cs="Times New Roman"/>
                <w:sz w:val="24"/>
                <w:szCs w:val="24"/>
                <w:vertAlign w:val="superscript"/>
              </w:rPr>
              <w:t>***</w:t>
            </w:r>
          </w:p>
        </w:tc>
      </w:tr>
      <w:tr w:rsidR="00AA47AF" w14:paraId="7AE51C0C" w14:textId="77777777" w:rsidTr="00830E72">
        <w:trPr>
          <w:trHeight w:val="300"/>
          <w:jc w:val="center"/>
        </w:trPr>
        <w:tc>
          <w:tcPr>
            <w:tcW w:w="2558" w:type="dxa"/>
            <w:shd w:val="clear" w:color="auto" w:fill="auto"/>
            <w:noWrap/>
            <w:vAlign w:val="bottom"/>
          </w:tcPr>
          <w:p w14:paraId="693128A5" w14:textId="77777777" w:rsidR="003E6D5B" w:rsidRPr="00235732" w:rsidRDefault="00DF7D72" w:rsidP="00830E72">
            <w:pPr>
              <w:autoSpaceDE w:val="0"/>
              <w:autoSpaceDN w:val="0"/>
              <w:adjustRightInd w:val="0"/>
              <w:spacing w:after="0" w:line="240" w:lineRule="auto"/>
              <w:rPr>
                <w:rFonts w:ascii="Times New Roman" w:hAnsi="Times New Roman" w:cs="Times New Roman"/>
                <w:sz w:val="24"/>
                <w:szCs w:val="24"/>
              </w:rPr>
            </w:pPr>
            <w:r>
              <w:rPr>
                <w:position w:val="-6"/>
              </w:rPr>
              <w:object w:dxaOrig="645" w:dyaOrig="285" w14:anchorId="6A32D752">
                <v:shape id="_x0000_i1057" type="#_x0000_t75" style="width:32.25pt;height:14.25pt" o:ole="">
                  <v:imagedata r:id="rId66" o:title=""/>
                </v:shape>
                <o:OLEObject Type="Embed" ProgID="Equation.DSMT4" ShapeID="_x0000_i1057" DrawAspect="Content" ObjectID="_1770110318" r:id="rId74"/>
              </w:object>
            </w:r>
          </w:p>
        </w:tc>
        <w:tc>
          <w:tcPr>
            <w:tcW w:w="3377" w:type="dxa"/>
            <w:shd w:val="clear" w:color="auto" w:fill="auto"/>
            <w:noWrap/>
            <w:vAlign w:val="center"/>
          </w:tcPr>
          <w:p w14:paraId="1DF142BF" w14:textId="77777777" w:rsidR="003E6D5B" w:rsidRPr="00160097" w:rsidRDefault="00DF7D72" w:rsidP="00830E7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B5B58">
              <w:rPr>
                <w:rFonts w:ascii="Times New Roman" w:hAnsi="Times New Roman" w:cs="Times New Roman"/>
                <w:sz w:val="24"/>
                <w:szCs w:val="24"/>
              </w:rPr>
              <w:t>1.847</w:t>
            </w:r>
          </w:p>
        </w:tc>
        <w:tc>
          <w:tcPr>
            <w:tcW w:w="2855" w:type="dxa"/>
            <w:shd w:val="clear" w:color="auto" w:fill="auto"/>
            <w:noWrap/>
            <w:vAlign w:val="center"/>
          </w:tcPr>
          <w:p w14:paraId="4B9A5614" w14:textId="77777777" w:rsidR="003E6D5B" w:rsidRPr="00160097" w:rsidRDefault="00DF7D72" w:rsidP="00830E72">
            <w:pPr>
              <w:spacing w:after="0" w:line="240" w:lineRule="auto"/>
              <w:rPr>
                <w:rFonts w:ascii="Times New Roman" w:hAnsi="Times New Roman" w:cs="Times New Roman"/>
                <w:sz w:val="24"/>
                <w:szCs w:val="24"/>
              </w:rPr>
            </w:pPr>
            <w:r w:rsidRPr="008B5B58">
              <w:rPr>
                <w:rFonts w:ascii="Times New Roman" w:hAnsi="Times New Roman" w:cs="Times New Roman"/>
                <w:sz w:val="24"/>
                <w:szCs w:val="24"/>
              </w:rPr>
              <w:t xml:space="preserve">-3.580 </w:t>
            </w:r>
            <w:r w:rsidRPr="00160097">
              <w:rPr>
                <w:rFonts w:ascii="Times New Roman" w:hAnsi="Times New Roman" w:cs="Times New Roman"/>
                <w:sz w:val="24"/>
                <w:szCs w:val="24"/>
                <w:vertAlign w:val="superscript"/>
              </w:rPr>
              <w:t>***</w:t>
            </w:r>
          </w:p>
        </w:tc>
      </w:tr>
      <w:tr w:rsidR="00AA47AF" w14:paraId="4FFF8F18" w14:textId="77777777" w:rsidTr="00830E72">
        <w:trPr>
          <w:trHeight w:val="300"/>
          <w:jc w:val="center"/>
        </w:trPr>
        <w:tc>
          <w:tcPr>
            <w:tcW w:w="2558" w:type="dxa"/>
            <w:tcBorders>
              <w:bottom w:val="single" w:sz="4" w:space="0" w:color="auto"/>
            </w:tcBorders>
            <w:shd w:val="clear" w:color="auto" w:fill="auto"/>
            <w:noWrap/>
            <w:vAlign w:val="bottom"/>
          </w:tcPr>
          <w:p w14:paraId="4271EFF2" w14:textId="77777777" w:rsidR="003E6D5B" w:rsidRDefault="00DF7D72" w:rsidP="00830E72">
            <w:pPr>
              <w:autoSpaceDE w:val="0"/>
              <w:autoSpaceDN w:val="0"/>
              <w:adjustRightInd w:val="0"/>
              <w:spacing w:after="0" w:line="240" w:lineRule="auto"/>
            </w:pPr>
            <w:r>
              <w:rPr>
                <w:position w:val="-6"/>
              </w:rPr>
              <w:object w:dxaOrig="555" w:dyaOrig="285" w14:anchorId="3B7B4EAA">
                <v:shape id="_x0000_i1058" type="#_x0000_t75" style="width:27pt;height:14.25pt" o:ole="">
                  <v:imagedata r:id="rId68" o:title=""/>
                </v:shape>
                <o:OLEObject Type="Embed" ProgID="Equation.DSMT4" ShapeID="_x0000_i1058" DrawAspect="Content" ObjectID="_1770110319" r:id="rId75"/>
              </w:object>
            </w:r>
          </w:p>
        </w:tc>
        <w:tc>
          <w:tcPr>
            <w:tcW w:w="3377" w:type="dxa"/>
            <w:tcBorders>
              <w:bottom w:val="single" w:sz="4" w:space="0" w:color="auto"/>
            </w:tcBorders>
            <w:shd w:val="clear" w:color="auto" w:fill="auto"/>
            <w:noWrap/>
            <w:vAlign w:val="center"/>
          </w:tcPr>
          <w:p w14:paraId="280EECDC" w14:textId="77777777" w:rsidR="003E6D5B" w:rsidRDefault="00DF7D72" w:rsidP="00830E72">
            <w:pPr>
              <w:spacing w:after="0" w:line="240" w:lineRule="auto"/>
              <w:rPr>
                <w:rFonts w:ascii="Times New Roman" w:hAnsi="Times New Roman" w:cs="Times New Roman"/>
                <w:sz w:val="24"/>
                <w:szCs w:val="24"/>
              </w:rPr>
            </w:pPr>
            <w:r w:rsidRPr="008B5B58">
              <w:rPr>
                <w:rFonts w:ascii="Times New Roman" w:hAnsi="Times New Roman" w:cs="Times New Roman"/>
                <w:sz w:val="24"/>
                <w:szCs w:val="24"/>
              </w:rPr>
              <w:t>-2.463</w:t>
            </w:r>
          </w:p>
        </w:tc>
        <w:tc>
          <w:tcPr>
            <w:tcW w:w="2855" w:type="dxa"/>
            <w:tcBorders>
              <w:bottom w:val="single" w:sz="4" w:space="0" w:color="auto"/>
            </w:tcBorders>
            <w:shd w:val="clear" w:color="auto" w:fill="auto"/>
            <w:noWrap/>
            <w:vAlign w:val="center"/>
          </w:tcPr>
          <w:p w14:paraId="5FA17482" w14:textId="77777777" w:rsidR="003E6D5B" w:rsidRDefault="00DF7D72" w:rsidP="00830E72">
            <w:pPr>
              <w:spacing w:after="0" w:line="240" w:lineRule="auto"/>
              <w:rPr>
                <w:rFonts w:ascii="Times New Roman" w:hAnsi="Times New Roman" w:cs="Times New Roman"/>
                <w:sz w:val="24"/>
                <w:szCs w:val="24"/>
              </w:rPr>
            </w:pPr>
            <w:r w:rsidRPr="00AD029B">
              <w:rPr>
                <w:rFonts w:ascii="Times New Roman" w:hAnsi="Times New Roman" w:cs="Times New Roman"/>
                <w:sz w:val="24"/>
                <w:szCs w:val="24"/>
              </w:rPr>
              <w:t>-4.231</w:t>
            </w:r>
            <w:r w:rsidRPr="00AD029B">
              <w:rPr>
                <w:rFonts w:ascii="Times New Roman" w:hAnsi="Times New Roman" w:cs="Times New Roman"/>
                <w:sz w:val="24"/>
                <w:szCs w:val="24"/>
                <w:vertAlign w:val="superscript"/>
              </w:rPr>
              <w:t>***</w:t>
            </w:r>
          </w:p>
        </w:tc>
      </w:tr>
      <w:tr w:rsidR="00AA47AF" w14:paraId="18F35310" w14:textId="77777777" w:rsidTr="00830E72">
        <w:trPr>
          <w:trHeight w:val="300"/>
          <w:jc w:val="center"/>
        </w:trPr>
        <w:tc>
          <w:tcPr>
            <w:tcW w:w="2558" w:type="dxa"/>
            <w:tcBorders>
              <w:top w:val="single" w:sz="4" w:space="0" w:color="auto"/>
            </w:tcBorders>
            <w:shd w:val="clear" w:color="auto" w:fill="auto"/>
            <w:noWrap/>
            <w:vAlign w:val="bottom"/>
          </w:tcPr>
          <w:p w14:paraId="1A216CD4" w14:textId="77777777" w:rsidR="003E6D5B" w:rsidRPr="00D12C8F" w:rsidRDefault="00DF7D72" w:rsidP="00830E72">
            <w:pPr>
              <w:autoSpaceDE w:val="0"/>
              <w:autoSpaceDN w:val="0"/>
              <w:adjustRightInd w:val="0"/>
              <w:spacing w:after="0" w:line="240" w:lineRule="auto"/>
              <w:rPr>
                <w:rFonts w:ascii="Times New Roman" w:hAnsi="Times New Roman" w:cs="Times New Roman"/>
                <w:b/>
                <w:sz w:val="24"/>
                <w:szCs w:val="24"/>
              </w:rPr>
            </w:pPr>
            <w:r w:rsidRPr="00D12C8F">
              <w:rPr>
                <w:rFonts w:ascii="Times New Roman" w:hAnsi="Times New Roman" w:cs="Times New Roman"/>
                <w:b/>
                <w:sz w:val="24"/>
                <w:szCs w:val="24"/>
              </w:rPr>
              <w:t>Critical Value</w:t>
            </w:r>
          </w:p>
        </w:tc>
        <w:tc>
          <w:tcPr>
            <w:tcW w:w="3377" w:type="dxa"/>
            <w:tcBorders>
              <w:top w:val="single" w:sz="4" w:space="0" w:color="auto"/>
            </w:tcBorders>
            <w:shd w:val="clear" w:color="auto" w:fill="auto"/>
            <w:noWrap/>
            <w:vAlign w:val="center"/>
          </w:tcPr>
          <w:p w14:paraId="0F58C414" w14:textId="77777777" w:rsidR="003E6D5B" w:rsidRDefault="003E6D5B" w:rsidP="00830E72">
            <w:pPr>
              <w:spacing w:after="0" w:line="240" w:lineRule="auto"/>
              <w:rPr>
                <w:rFonts w:ascii="Times New Roman" w:hAnsi="Times New Roman" w:cs="Times New Roman"/>
                <w:sz w:val="24"/>
                <w:szCs w:val="24"/>
              </w:rPr>
            </w:pPr>
          </w:p>
        </w:tc>
        <w:tc>
          <w:tcPr>
            <w:tcW w:w="2855" w:type="dxa"/>
            <w:tcBorders>
              <w:top w:val="single" w:sz="4" w:space="0" w:color="auto"/>
            </w:tcBorders>
            <w:shd w:val="clear" w:color="auto" w:fill="auto"/>
            <w:noWrap/>
            <w:vAlign w:val="center"/>
          </w:tcPr>
          <w:p w14:paraId="5B66FC8B" w14:textId="77777777" w:rsidR="003E6D5B" w:rsidRDefault="003E6D5B" w:rsidP="00830E72">
            <w:pPr>
              <w:spacing w:after="0" w:line="240" w:lineRule="auto"/>
              <w:rPr>
                <w:rFonts w:ascii="Times New Roman" w:hAnsi="Times New Roman" w:cs="Times New Roman"/>
                <w:sz w:val="24"/>
                <w:szCs w:val="24"/>
              </w:rPr>
            </w:pPr>
          </w:p>
        </w:tc>
      </w:tr>
      <w:tr w:rsidR="00AA47AF" w14:paraId="6C7528AD" w14:textId="77777777" w:rsidTr="00830E72">
        <w:trPr>
          <w:trHeight w:val="300"/>
          <w:jc w:val="center"/>
        </w:trPr>
        <w:tc>
          <w:tcPr>
            <w:tcW w:w="2558" w:type="dxa"/>
            <w:tcBorders>
              <w:bottom w:val="single" w:sz="4" w:space="0" w:color="auto"/>
            </w:tcBorders>
            <w:shd w:val="clear" w:color="auto" w:fill="auto"/>
            <w:noWrap/>
            <w:vAlign w:val="bottom"/>
          </w:tcPr>
          <w:p w14:paraId="49C65C3C" w14:textId="77777777" w:rsidR="003E6D5B" w:rsidRDefault="00DF7D72" w:rsidP="00830E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AD029B">
              <w:rPr>
                <w:rFonts w:ascii="Times New Roman" w:hAnsi="Times New Roman" w:cs="Times New Roman"/>
                <w:sz w:val="24"/>
                <w:szCs w:val="24"/>
              </w:rPr>
              <w:t xml:space="preserve">-2.58  </w:t>
            </w:r>
          </w:p>
        </w:tc>
        <w:tc>
          <w:tcPr>
            <w:tcW w:w="3377" w:type="dxa"/>
            <w:tcBorders>
              <w:bottom w:val="single" w:sz="4" w:space="0" w:color="auto"/>
            </w:tcBorders>
            <w:shd w:val="clear" w:color="auto" w:fill="auto"/>
            <w:noWrap/>
            <w:vAlign w:val="center"/>
          </w:tcPr>
          <w:p w14:paraId="59CD5851" w14:textId="77777777" w:rsidR="003E6D5B" w:rsidRDefault="00DF7D72" w:rsidP="00830E72">
            <w:pPr>
              <w:spacing w:after="0" w:line="240" w:lineRule="auto"/>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AD029B">
              <w:rPr>
                <w:rFonts w:ascii="Times New Roman" w:hAnsi="Times New Roman" w:cs="Times New Roman"/>
                <w:sz w:val="24"/>
                <w:szCs w:val="24"/>
              </w:rPr>
              <w:t>-2.67</w:t>
            </w:r>
          </w:p>
        </w:tc>
        <w:tc>
          <w:tcPr>
            <w:tcW w:w="2855" w:type="dxa"/>
            <w:tcBorders>
              <w:bottom w:val="single" w:sz="4" w:space="0" w:color="auto"/>
            </w:tcBorders>
            <w:shd w:val="clear" w:color="auto" w:fill="auto"/>
            <w:noWrap/>
            <w:vAlign w:val="center"/>
          </w:tcPr>
          <w:p w14:paraId="35C1F232" w14:textId="77777777" w:rsidR="003E6D5B" w:rsidRDefault="00DF7D72" w:rsidP="00830E72">
            <w:pPr>
              <w:spacing w:after="0" w:line="240" w:lineRule="auto"/>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AD029B">
              <w:rPr>
                <w:rFonts w:ascii="Times New Roman" w:hAnsi="Times New Roman" w:cs="Times New Roman"/>
                <w:sz w:val="24"/>
                <w:szCs w:val="24"/>
              </w:rPr>
              <w:t>-2.83</w:t>
            </w:r>
          </w:p>
        </w:tc>
      </w:tr>
    </w:tbl>
    <w:p w14:paraId="65A65DBF" w14:textId="77777777" w:rsidR="003E6D5B" w:rsidRDefault="00DF7D72" w:rsidP="003E6D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Note: </w:t>
      </w:r>
      <w:r w:rsidRPr="00E32FF9">
        <w:rPr>
          <w:rFonts w:ascii="Times New Roman" w:hAnsi="Times New Roman" w:cs="Times New Roman"/>
          <w:sz w:val="24"/>
          <w:szCs w:val="24"/>
        </w:rPr>
        <w:t>*</w:t>
      </w:r>
      <w:r>
        <w:rPr>
          <w:rFonts w:ascii="Times New Roman" w:hAnsi="Times New Roman" w:cs="Times New Roman"/>
          <w:sz w:val="24"/>
          <w:szCs w:val="24"/>
        </w:rPr>
        <w:t xml:space="preserve">**, **, </w:t>
      </w:r>
      <w:proofErr w:type="gramStart"/>
      <w:r>
        <w:rPr>
          <w:rFonts w:ascii="Times New Roman" w:hAnsi="Times New Roman" w:cs="Times New Roman"/>
          <w:sz w:val="24"/>
          <w:szCs w:val="24"/>
        </w:rPr>
        <w:t>and  *</w:t>
      </w:r>
      <w:proofErr w:type="gramEnd"/>
      <w:r>
        <w:rPr>
          <w:rFonts w:ascii="Times New Roman" w:hAnsi="Times New Roman" w:cs="Times New Roman"/>
          <w:sz w:val="24"/>
          <w:szCs w:val="24"/>
        </w:rPr>
        <w:t xml:space="preserve"> denote</w:t>
      </w:r>
      <w:r w:rsidRPr="00E32FF9">
        <w:rPr>
          <w:rFonts w:ascii="Times New Roman" w:hAnsi="Times New Roman" w:cs="Times New Roman"/>
          <w:sz w:val="24"/>
          <w:szCs w:val="24"/>
        </w:rPr>
        <w:t xml:space="preserve"> s</w:t>
      </w:r>
      <w:r>
        <w:rPr>
          <w:rFonts w:ascii="Times New Roman" w:hAnsi="Times New Roman" w:cs="Times New Roman"/>
          <w:sz w:val="24"/>
          <w:szCs w:val="24"/>
        </w:rPr>
        <w:t xml:space="preserve">tatistical significance level at 1%, 5%, and 10%. </w:t>
      </w:r>
      <w:proofErr w:type="gramStart"/>
      <w:r>
        <w:rPr>
          <w:rFonts w:ascii="Times New Roman" w:hAnsi="Times New Roman" w:cs="Times New Roman"/>
          <w:sz w:val="24"/>
          <w:szCs w:val="24"/>
        </w:rPr>
        <w:t>The  maximum</w:t>
      </w:r>
      <w:proofErr w:type="gramEnd"/>
      <w:r>
        <w:rPr>
          <w:rFonts w:ascii="Times New Roman" w:hAnsi="Times New Roman" w:cs="Times New Roman"/>
          <w:sz w:val="24"/>
          <w:szCs w:val="24"/>
        </w:rPr>
        <w:t xml:space="preserve"> lag length selected for the test is 1 with trend.</w:t>
      </w:r>
    </w:p>
    <w:p w14:paraId="3A674D9E" w14:textId="77777777" w:rsidR="003E6D5B" w:rsidRPr="003A66F8" w:rsidRDefault="003E6D5B" w:rsidP="003E6D5B">
      <w:pPr>
        <w:jc w:val="both"/>
        <w:rPr>
          <w:rFonts w:ascii="Times New Roman" w:hAnsi="Times New Roman" w:cs="Times New Roman"/>
          <w:sz w:val="24"/>
          <w:szCs w:val="24"/>
        </w:rPr>
      </w:pPr>
    </w:p>
    <w:p w14:paraId="28196916" w14:textId="77777777" w:rsidR="001E601A" w:rsidRDefault="001E601A" w:rsidP="001E601A">
      <w:pPr>
        <w:jc w:val="both"/>
        <w:rPr>
          <w:rFonts w:ascii="Times New Roman" w:hAnsi="Times New Roman" w:cs="Times New Roman"/>
          <w:sz w:val="24"/>
          <w:szCs w:val="24"/>
        </w:rPr>
      </w:pPr>
    </w:p>
    <w:p w14:paraId="71E13DCA" w14:textId="77777777" w:rsidR="001E601A" w:rsidRPr="001E601A" w:rsidRDefault="00DF7D72" w:rsidP="001E601A">
      <w:pPr>
        <w:spacing w:after="0" w:line="360" w:lineRule="auto"/>
        <w:rPr>
          <w:rFonts w:ascii="Times New Roman" w:hAnsi="Times New Roman" w:cs="Times New Roman"/>
          <w:sz w:val="24"/>
          <w:szCs w:val="24"/>
        </w:rPr>
      </w:pPr>
      <w:r w:rsidRPr="001E601A">
        <w:rPr>
          <w:rFonts w:ascii="Times New Roman" w:hAnsi="Times New Roman" w:cs="Times New Roman"/>
          <w:bCs/>
          <w:sz w:val="24"/>
          <w:szCs w:val="24"/>
        </w:rPr>
        <w:t>Table 4: Westerlund Panel cointegration tests</w:t>
      </w:r>
    </w:p>
    <w:tbl>
      <w:tblPr>
        <w:tblW w:w="7797" w:type="dxa"/>
        <w:tblBorders>
          <w:top w:val="single" w:sz="4" w:space="0" w:color="auto"/>
          <w:bottom w:val="single" w:sz="4" w:space="0" w:color="auto"/>
        </w:tblBorders>
        <w:tblLook w:val="04A0" w:firstRow="1" w:lastRow="0" w:firstColumn="1" w:lastColumn="0" w:noHBand="0" w:noVBand="1"/>
      </w:tblPr>
      <w:tblGrid>
        <w:gridCol w:w="1985"/>
        <w:gridCol w:w="1276"/>
        <w:gridCol w:w="1417"/>
        <w:gridCol w:w="1559"/>
        <w:gridCol w:w="1560"/>
      </w:tblGrid>
      <w:tr w:rsidR="00AA47AF" w14:paraId="4C31AC1E" w14:textId="77777777" w:rsidTr="00830E72">
        <w:trPr>
          <w:trHeight w:val="345"/>
        </w:trPr>
        <w:tc>
          <w:tcPr>
            <w:tcW w:w="1985" w:type="dxa"/>
            <w:tcBorders>
              <w:top w:val="single" w:sz="4" w:space="0" w:color="auto"/>
              <w:bottom w:val="single" w:sz="4" w:space="0" w:color="auto"/>
            </w:tcBorders>
            <w:shd w:val="clear" w:color="auto" w:fill="auto"/>
            <w:vAlign w:val="center"/>
            <w:hideMark/>
          </w:tcPr>
          <w:p w14:paraId="690C758D" w14:textId="77777777" w:rsidR="001E601A" w:rsidRPr="009F49BA" w:rsidRDefault="00DF7D72" w:rsidP="00830E72">
            <w:pPr>
              <w:spacing w:after="0" w:line="240" w:lineRule="auto"/>
              <w:rPr>
                <w:rFonts w:ascii="Times New Roman" w:eastAsia="Times New Roman" w:hAnsi="Times New Roman" w:cs="Times New Roman"/>
                <w:bCs/>
                <w:color w:val="000000"/>
                <w:sz w:val="24"/>
                <w:szCs w:val="24"/>
                <w:lang w:eastAsia="en-GB"/>
              </w:rPr>
            </w:pPr>
            <w:r w:rsidRPr="009F49BA">
              <w:rPr>
                <w:rFonts w:ascii="Times New Roman" w:eastAsia="Times New Roman" w:hAnsi="Times New Roman" w:cs="Times New Roman"/>
                <w:bCs/>
                <w:color w:val="000000"/>
                <w:sz w:val="24"/>
                <w:szCs w:val="24"/>
                <w:lang w:eastAsia="en-GB"/>
              </w:rPr>
              <w:t>Statistic</w:t>
            </w:r>
            <w:r>
              <w:rPr>
                <w:rFonts w:ascii="Times New Roman" w:eastAsia="Times New Roman" w:hAnsi="Times New Roman" w:cs="Times New Roman"/>
                <w:bCs/>
                <w:color w:val="000000"/>
                <w:sz w:val="24"/>
                <w:szCs w:val="24"/>
                <w:lang w:eastAsia="en-GB"/>
              </w:rPr>
              <w:t>s</w:t>
            </w:r>
          </w:p>
        </w:tc>
        <w:tc>
          <w:tcPr>
            <w:tcW w:w="1276" w:type="dxa"/>
            <w:tcBorders>
              <w:top w:val="single" w:sz="4" w:space="0" w:color="auto"/>
              <w:bottom w:val="single" w:sz="4" w:space="0" w:color="auto"/>
            </w:tcBorders>
            <w:shd w:val="clear" w:color="auto" w:fill="auto"/>
            <w:vAlign w:val="center"/>
            <w:hideMark/>
          </w:tcPr>
          <w:p w14:paraId="1E069624"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Gt</w:t>
            </w:r>
          </w:p>
        </w:tc>
        <w:tc>
          <w:tcPr>
            <w:tcW w:w="1417" w:type="dxa"/>
            <w:tcBorders>
              <w:top w:val="single" w:sz="4" w:space="0" w:color="auto"/>
              <w:bottom w:val="single" w:sz="4" w:space="0" w:color="auto"/>
            </w:tcBorders>
            <w:shd w:val="clear" w:color="auto" w:fill="auto"/>
            <w:vAlign w:val="center"/>
            <w:hideMark/>
          </w:tcPr>
          <w:p w14:paraId="7DBA967A"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Ga</w:t>
            </w:r>
          </w:p>
        </w:tc>
        <w:tc>
          <w:tcPr>
            <w:tcW w:w="1559" w:type="dxa"/>
            <w:tcBorders>
              <w:top w:val="single" w:sz="4" w:space="0" w:color="auto"/>
              <w:bottom w:val="single" w:sz="4" w:space="0" w:color="auto"/>
            </w:tcBorders>
            <w:shd w:val="clear" w:color="auto" w:fill="auto"/>
            <w:vAlign w:val="center"/>
            <w:hideMark/>
          </w:tcPr>
          <w:p w14:paraId="7A2BB762"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Pt</w:t>
            </w:r>
          </w:p>
        </w:tc>
        <w:tc>
          <w:tcPr>
            <w:tcW w:w="1560" w:type="dxa"/>
            <w:tcBorders>
              <w:top w:val="single" w:sz="4" w:space="0" w:color="auto"/>
              <w:bottom w:val="single" w:sz="4" w:space="0" w:color="auto"/>
            </w:tcBorders>
            <w:shd w:val="clear" w:color="auto" w:fill="auto"/>
            <w:vAlign w:val="center"/>
            <w:hideMark/>
          </w:tcPr>
          <w:p w14:paraId="7A272E8C"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Pa</w:t>
            </w:r>
          </w:p>
        </w:tc>
      </w:tr>
      <w:tr w:rsidR="00AA47AF" w14:paraId="46E70B85" w14:textId="77777777" w:rsidTr="00830E72">
        <w:trPr>
          <w:trHeight w:val="345"/>
        </w:trPr>
        <w:tc>
          <w:tcPr>
            <w:tcW w:w="1985" w:type="dxa"/>
            <w:tcBorders>
              <w:top w:val="single" w:sz="4" w:space="0" w:color="auto"/>
              <w:left w:val="nil"/>
              <w:bottom w:val="nil"/>
              <w:right w:val="nil"/>
            </w:tcBorders>
            <w:shd w:val="clear" w:color="auto" w:fill="auto"/>
            <w:vAlign w:val="center"/>
            <w:hideMark/>
          </w:tcPr>
          <w:p w14:paraId="28A4CD19" w14:textId="77777777" w:rsidR="001E601A" w:rsidRPr="009F49BA" w:rsidRDefault="00DF7D72" w:rsidP="00830E72">
            <w:pPr>
              <w:spacing w:after="0" w:line="240" w:lineRule="auto"/>
              <w:rPr>
                <w:rFonts w:ascii="Times New Roman" w:eastAsia="Times New Roman" w:hAnsi="Times New Roman" w:cs="Times New Roman"/>
                <w:bCs/>
                <w:color w:val="000000"/>
                <w:sz w:val="24"/>
                <w:szCs w:val="24"/>
                <w:lang w:eastAsia="en-GB"/>
              </w:rPr>
            </w:pPr>
            <w:r w:rsidRPr="009F49BA">
              <w:rPr>
                <w:rFonts w:ascii="Times New Roman" w:eastAsia="Times New Roman" w:hAnsi="Times New Roman" w:cs="Times New Roman"/>
                <w:bCs/>
                <w:color w:val="000000"/>
                <w:sz w:val="24"/>
                <w:szCs w:val="24"/>
                <w:lang w:eastAsia="en-GB"/>
              </w:rPr>
              <w:t>Value</w:t>
            </w:r>
          </w:p>
        </w:tc>
        <w:tc>
          <w:tcPr>
            <w:tcW w:w="1276" w:type="dxa"/>
            <w:tcBorders>
              <w:top w:val="single" w:sz="4" w:space="0" w:color="auto"/>
              <w:left w:val="nil"/>
              <w:bottom w:val="nil"/>
              <w:right w:val="nil"/>
            </w:tcBorders>
            <w:shd w:val="clear" w:color="auto" w:fill="auto"/>
            <w:vAlign w:val="center"/>
            <w:hideMark/>
          </w:tcPr>
          <w:p w14:paraId="555CF586"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-3.089</w:t>
            </w:r>
          </w:p>
        </w:tc>
        <w:tc>
          <w:tcPr>
            <w:tcW w:w="1417" w:type="dxa"/>
            <w:tcBorders>
              <w:top w:val="single" w:sz="4" w:space="0" w:color="auto"/>
              <w:left w:val="nil"/>
              <w:bottom w:val="nil"/>
              <w:right w:val="nil"/>
            </w:tcBorders>
            <w:shd w:val="clear" w:color="auto" w:fill="auto"/>
            <w:vAlign w:val="center"/>
            <w:hideMark/>
          </w:tcPr>
          <w:p w14:paraId="6A43ED6B"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-4.311</w:t>
            </w:r>
          </w:p>
        </w:tc>
        <w:tc>
          <w:tcPr>
            <w:tcW w:w="1559" w:type="dxa"/>
            <w:tcBorders>
              <w:top w:val="single" w:sz="4" w:space="0" w:color="auto"/>
              <w:left w:val="nil"/>
              <w:bottom w:val="nil"/>
              <w:right w:val="nil"/>
            </w:tcBorders>
            <w:shd w:val="clear" w:color="auto" w:fill="auto"/>
            <w:vAlign w:val="center"/>
            <w:hideMark/>
          </w:tcPr>
          <w:p w14:paraId="4AF8169C"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-14.334</w:t>
            </w:r>
          </w:p>
        </w:tc>
        <w:tc>
          <w:tcPr>
            <w:tcW w:w="1560" w:type="dxa"/>
            <w:tcBorders>
              <w:top w:val="single" w:sz="4" w:space="0" w:color="auto"/>
              <w:left w:val="nil"/>
              <w:bottom w:val="nil"/>
              <w:right w:val="nil"/>
            </w:tcBorders>
            <w:shd w:val="clear" w:color="auto" w:fill="auto"/>
            <w:vAlign w:val="center"/>
            <w:hideMark/>
          </w:tcPr>
          <w:p w14:paraId="2A88385D"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-4.367</w:t>
            </w:r>
          </w:p>
        </w:tc>
      </w:tr>
      <w:tr w:rsidR="00AA47AF" w14:paraId="06EDE34F" w14:textId="77777777" w:rsidTr="00830E72">
        <w:trPr>
          <w:trHeight w:val="345"/>
        </w:trPr>
        <w:tc>
          <w:tcPr>
            <w:tcW w:w="1985" w:type="dxa"/>
            <w:tcBorders>
              <w:top w:val="nil"/>
              <w:left w:val="nil"/>
              <w:bottom w:val="nil"/>
              <w:right w:val="nil"/>
            </w:tcBorders>
            <w:shd w:val="clear" w:color="auto" w:fill="auto"/>
            <w:vAlign w:val="center"/>
            <w:hideMark/>
          </w:tcPr>
          <w:p w14:paraId="28B1CEF3" w14:textId="77777777" w:rsidR="001E601A" w:rsidRPr="009F49BA" w:rsidRDefault="00DF7D72" w:rsidP="00830E72">
            <w:pPr>
              <w:spacing w:after="0" w:line="240" w:lineRule="auto"/>
              <w:rPr>
                <w:rFonts w:ascii="Times New Roman" w:eastAsia="Times New Roman" w:hAnsi="Times New Roman" w:cs="Times New Roman"/>
                <w:bCs/>
                <w:color w:val="000000"/>
                <w:sz w:val="24"/>
                <w:szCs w:val="24"/>
                <w:lang w:eastAsia="en-GB"/>
              </w:rPr>
            </w:pPr>
            <w:r w:rsidRPr="009F49BA">
              <w:rPr>
                <w:rFonts w:ascii="Times New Roman" w:eastAsia="Times New Roman" w:hAnsi="Times New Roman" w:cs="Times New Roman"/>
                <w:bCs/>
                <w:color w:val="000000"/>
                <w:sz w:val="24"/>
                <w:szCs w:val="24"/>
                <w:lang w:eastAsia="en-GB"/>
              </w:rPr>
              <w:t>Z-value</w:t>
            </w:r>
          </w:p>
        </w:tc>
        <w:tc>
          <w:tcPr>
            <w:tcW w:w="1276" w:type="dxa"/>
            <w:tcBorders>
              <w:top w:val="nil"/>
              <w:left w:val="nil"/>
              <w:bottom w:val="nil"/>
              <w:right w:val="nil"/>
            </w:tcBorders>
            <w:shd w:val="clear" w:color="auto" w:fill="auto"/>
            <w:vAlign w:val="center"/>
            <w:hideMark/>
          </w:tcPr>
          <w:p w14:paraId="485D0DC1"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-4.631</w:t>
            </w:r>
          </w:p>
        </w:tc>
        <w:tc>
          <w:tcPr>
            <w:tcW w:w="1417" w:type="dxa"/>
            <w:tcBorders>
              <w:top w:val="nil"/>
              <w:left w:val="nil"/>
              <w:bottom w:val="nil"/>
              <w:right w:val="nil"/>
            </w:tcBorders>
            <w:shd w:val="clear" w:color="auto" w:fill="auto"/>
            <w:vAlign w:val="center"/>
            <w:hideMark/>
          </w:tcPr>
          <w:p w14:paraId="34E577E9"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5.108</w:t>
            </w:r>
          </w:p>
        </w:tc>
        <w:tc>
          <w:tcPr>
            <w:tcW w:w="1559" w:type="dxa"/>
            <w:tcBorders>
              <w:top w:val="nil"/>
              <w:left w:val="nil"/>
              <w:bottom w:val="nil"/>
              <w:right w:val="nil"/>
            </w:tcBorders>
            <w:shd w:val="clear" w:color="auto" w:fill="auto"/>
            <w:vAlign w:val="center"/>
            <w:hideMark/>
          </w:tcPr>
          <w:p w14:paraId="6235F478"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-3.582</w:t>
            </w:r>
          </w:p>
        </w:tc>
        <w:tc>
          <w:tcPr>
            <w:tcW w:w="1560" w:type="dxa"/>
            <w:tcBorders>
              <w:top w:val="nil"/>
              <w:left w:val="nil"/>
              <w:bottom w:val="nil"/>
              <w:right w:val="nil"/>
            </w:tcBorders>
            <w:shd w:val="clear" w:color="auto" w:fill="auto"/>
            <w:vAlign w:val="center"/>
            <w:hideMark/>
          </w:tcPr>
          <w:p w14:paraId="4AF07CBB"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2.439</w:t>
            </w:r>
          </w:p>
        </w:tc>
      </w:tr>
      <w:tr w:rsidR="00AA47AF" w14:paraId="1A5528A1" w14:textId="77777777" w:rsidTr="00830E72">
        <w:trPr>
          <w:trHeight w:val="345"/>
        </w:trPr>
        <w:tc>
          <w:tcPr>
            <w:tcW w:w="1985" w:type="dxa"/>
            <w:tcBorders>
              <w:top w:val="nil"/>
              <w:left w:val="nil"/>
              <w:bottom w:val="nil"/>
              <w:right w:val="nil"/>
            </w:tcBorders>
            <w:shd w:val="clear" w:color="auto" w:fill="auto"/>
            <w:vAlign w:val="center"/>
            <w:hideMark/>
          </w:tcPr>
          <w:p w14:paraId="6F360B36" w14:textId="77777777" w:rsidR="001E601A" w:rsidRPr="009F49BA" w:rsidRDefault="00DF7D72" w:rsidP="00830E72">
            <w:pPr>
              <w:spacing w:after="0" w:line="240" w:lineRule="auto"/>
              <w:rPr>
                <w:rFonts w:ascii="Times New Roman" w:eastAsia="Times New Roman" w:hAnsi="Times New Roman" w:cs="Times New Roman"/>
                <w:bCs/>
                <w:i/>
                <w:iCs/>
                <w:color w:val="000000"/>
                <w:sz w:val="24"/>
                <w:szCs w:val="24"/>
                <w:lang w:eastAsia="en-GB"/>
              </w:rPr>
            </w:pPr>
            <w:r w:rsidRPr="009F49BA">
              <w:rPr>
                <w:rFonts w:ascii="Times New Roman" w:eastAsia="Times New Roman" w:hAnsi="Times New Roman" w:cs="Times New Roman"/>
                <w:bCs/>
                <w:i/>
                <w:iCs/>
                <w:color w:val="000000"/>
                <w:sz w:val="24"/>
                <w:szCs w:val="24"/>
                <w:lang w:eastAsia="en-GB"/>
              </w:rPr>
              <w:t>p</w:t>
            </w:r>
            <w:r w:rsidRPr="009F49BA">
              <w:rPr>
                <w:rFonts w:ascii="Times New Roman" w:eastAsia="Times New Roman" w:hAnsi="Times New Roman" w:cs="Times New Roman"/>
                <w:bCs/>
                <w:color w:val="000000"/>
                <w:sz w:val="24"/>
                <w:szCs w:val="24"/>
                <w:lang w:eastAsia="en-GB"/>
              </w:rPr>
              <w:t>-value</w:t>
            </w:r>
          </w:p>
        </w:tc>
        <w:tc>
          <w:tcPr>
            <w:tcW w:w="1276" w:type="dxa"/>
            <w:tcBorders>
              <w:top w:val="nil"/>
              <w:left w:val="nil"/>
              <w:bottom w:val="nil"/>
              <w:right w:val="nil"/>
            </w:tcBorders>
            <w:shd w:val="clear" w:color="auto" w:fill="auto"/>
            <w:vAlign w:val="center"/>
            <w:hideMark/>
          </w:tcPr>
          <w:p w14:paraId="07591BB2"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.000</w:t>
            </w:r>
          </w:p>
        </w:tc>
        <w:tc>
          <w:tcPr>
            <w:tcW w:w="1417" w:type="dxa"/>
            <w:tcBorders>
              <w:top w:val="nil"/>
              <w:left w:val="nil"/>
              <w:bottom w:val="nil"/>
              <w:right w:val="nil"/>
            </w:tcBorders>
            <w:shd w:val="clear" w:color="auto" w:fill="auto"/>
            <w:vAlign w:val="center"/>
            <w:hideMark/>
          </w:tcPr>
          <w:p w14:paraId="00881F8F"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.000</w:t>
            </w:r>
          </w:p>
        </w:tc>
        <w:tc>
          <w:tcPr>
            <w:tcW w:w="1559" w:type="dxa"/>
            <w:tcBorders>
              <w:top w:val="nil"/>
              <w:left w:val="nil"/>
              <w:bottom w:val="nil"/>
              <w:right w:val="nil"/>
            </w:tcBorders>
            <w:shd w:val="clear" w:color="auto" w:fill="auto"/>
            <w:vAlign w:val="center"/>
            <w:hideMark/>
          </w:tcPr>
          <w:p w14:paraId="012F64A7"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.000</w:t>
            </w:r>
          </w:p>
        </w:tc>
        <w:tc>
          <w:tcPr>
            <w:tcW w:w="1560" w:type="dxa"/>
            <w:tcBorders>
              <w:top w:val="nil"/>
              <w:left w:val="nil"/>
              <w:bottom w:val="nil"/>
              <w:right w:val="nil"/>
            </w:tcBorders>
            <w:shd w:val="clear" w:color="auto" w:fill="auto"/>
            <w:vAlign w:val="center"/>
            <w:hideMark/>
          </w:tcPr>
          <w:p w14:paraId="12351AE3"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0.993</w:t>
            </w:r>
          </w:p>
        </w:tc>
      </w:tr>
      <w:tr w:rsidR="00AA47AF" w14:paraId="4B85B9E7" w14:textId="77777777" w:rsidTr="00830E72">
        <w:trPr>
          <w:trHeight w:val="487"/>
        </w:trPr>
        <w:tc>
          <w:tcPr>
            <w:tcW w:w="1985" w:type="dxa"/>
            <w:tcBorders>
              <w:top w:val="nil"/>
              <w:left w:val="nil"/>
              <w:bottom w:val="single" w:sz="4" w:space="0" w:color="auto"/>
              <w:right w:val="nil"/>
            </w:tcBorders>
            <w:shd w:val="clear" w:color="auto" w:fill="auto"/>
            <w:vAlign w:val="center"/>
            <w:hideMark/>
          </w:tcPr>
          <w:p w14:paraId="50046F7B" w14:textId="77777777" w:rsidR="001E601A" w:rsidRPr="009F49BA" w:rsidRDefault="00DF7D72" w:rsidP="00830E72">
            <w:pPr>
              <w:spacing w:after="0" w:line="240" w:lineRule="auto"/>
              <w:rPr>
                <w:rFonts w:ascii="Times New Roman" w:eastAsia="Times New Roman" w:hAnsi="Times New Roman" w:cs="Times New Roman"/>
                <w:bCs/>
                <w:color w:val="000000"/>
                <w:sz w:val="24"/>
                <w:szCs w:val="24"/>
                <w:lang w:eastAsia="en-GB"/>
              </w:rPr>
            </w:pPr>
            <w:r w:rsidRPr="009F49BA">
              <w:rPr>
                <w:rFonts w:ascii="Times New Roman" w:eastAsia="Times New Roman" w:hAnsi="Times New Roman" w:cs="Times New Roman"/>
                <w:bCs/>
                <w:color w:val="000000"/>
                <w:sz w:val="24"/>
                <w:szCs w:val="24"/>
                <w:lang w:eastAsia="en-GB"/>
              </w:rPr>
              <w:t xml:space="preserve">Robust </w:t>
            </w:r>
            <w:r w:rsidRPr="009F49BA">
              <w:rPr>
                <w:rFonts w:ascii="Times New Roman" w:eastAsia="Times New Roman" w:hAnsi="Times New Roman" w:cs="Times New Roman"/>
                <w:bCs/>
                <w:i/>
                <w:iCs/>
                <w:color w:val="000000"/>
                <w:sz w:val="24"/>
                <w:szCs w:val="24"/>
                <w:lang w:eastAsia="en-GB"/>
              </w:rPr>
              <w:t>p</w:t>
            </w:r>
            <w:r w:rsidRPr="009F49BA">
              <w:rPr>
                <w:rFonts w:ascii="Times New Roman" w:eastAsia="Times New Roman" w:hAnsi="Times New Roman" w:cs="Times New Roman"/>
                <w:bCs/>
                <w:color w:val="000000"/>
                <w:sz w:val="24"/>
                <w:szCs w:val="24"/>
                <w:lang w:eastAsia="en-GB"/>
              </w:rPr>
              <w:t>-value</w:t>
            </w:r>
          </w:p>
        </w:tc>
        <w:tc>
          <w:tcPr>
            <w:tcW w:w="1276" w:type="dxa"/>
            <w:tcBorders>
              <w:top w:val="nil"/>
              <w:left w:val="nil"/>
              <w:bottom w:val="single" w:sz="4" w:space="0" w:color="auto"/>
              <w:right w:val="nil"/>
            </w:tcBorders>
            <w:shd w:val="clear" w:color="auto" w:fill="auto"/>
            <w:vAlign w:val="center"/>
            <w:hideMark/>
          </w:tcPr>
          <w:p w14:paraId="5535B2B6"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0.07</w:t>
            </w:r>
            <w:r>
              <w:rPr>
                <w:rFonts w:ascii="Times New Roman" w:eastAsia="Times New Roman" w:hAnsi="Times New Roman" w:cs="Times New Roman"/>
                <w:color w:val="000000"/>
                <w:sz w:val="24"/>
                <w:szCs w:val="24"/>
                <w:lang w:eastAsia="en-GB"/>
              </w:rPr>
              <w:t>0</w:t>
            </w:r>
          </w:p>
        </w:tc>
        <w:tc>
          <w:tcPr>
            <w:tcW w:w="1417" w:type="dxa"/>
            <w:tcBorders>
              <w:top w:val="nil"/>
              <w:left w:val="nil"/>
              <w:bottom w:val="single" w:sz="4" w:space="0" w:color="auto"/>
              <w:right w:val="nil"/>
            </w:tcBorders>
            <w:shd w:val="clear" w:color="auto" w:fill="auto"/>
            <w:vAlign w:val="center"/>
            <w:hideMark/>
          </w:tcPr>
          <w:p w14:paraId="0815DD5E"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0.18</w:t>
            </w:r>
            <w:r>
              <w:rPr>
                <w:rFonts w:ascii="Times New Roman" w:eastAsia="Times New Roman" w:hAnsi="Times New Roman" w:cs="Times New Roman"/>
                <w:color w:val="000000"/>
                <w:sz w:val="24"/>
                <w:szCs w:val="24"/>
                <w:lang w:eastAsia="en-GB"/>
              </w:rPr>
              <w:t>0</w:t>
            </w:r>
          </w:p>
        </w:tc>
        <w:tc>
          <w:tcPr>
            <w:tcW w:w="1559" w:type="dxa"/>
            <w:tcBorders>
              <w:top w:val="nil"/>
              <w:left w:val="nil"/>
              <w:bottom w:val="single" w:sz="4" w:space="0" w:color="auto"/>
              <w:right w:val="nil"/>
            </w:tcBorders>
            <w:shd w:val="clear" w:color="auto" w:fill="auto"/>
            <w:vAlign w:val="center"/>
            <w:hideMark/>
          </w:tcPr>
          <w:p w14:paraId="49DA0C2E"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0.04</w:t>
            </w:r>
            <w:r>
              <w:rPr>
                <w:rFonts w:ascii="Times New Roman" w:eastAsia="Times New Roman" w:hAnsi="Times New Roman" w:cs="Times New Roman"/>
                <w:color w:val="000000"/>
                <w:sz w:val="24"/>
                <w:szCs w:val="24"/>
                <w:lang w:eastAsia="en-GB"/>
              </w:rPr>
              <w:t>0</w:t>
            </w:r>
          </w:p>
        </w:tc>
        <w:tc>
          <w:tcPr>
            <w:tcW w:w="1560" w:type="dxa"/>
            <w:tcBorders>
              <w:top w:val="nil"/>
              <w:left w:val="nil"/>
              <w:bottom w:val="single" w:sz="4" w:space="0" w:color="auto"/>
              <w:right w:val="nil"/>
            </w:tcBorders>
            <w:shd w:val="clear" w:color="auto" w:fill="auto"/>
            <w:vAlign w:val="center"/>
            <w:hideMark/>
          </w:tcPr>
          <w:p w14:paraId="4D1220EB" w14:textId="77777777" w:rsidR="001E601A" w:rsidRPr="009F49BA" w:rsidRDefault="00DF7D72" w:rsidP="00830E72">
            <w:pPr>
              <w:spacing w:after="0" w:line="240" w:lineRule="auto"/>
              <w:jc w:val="right"/>
              <w:rPr>
                <w:rFonts w:ascii="Times New Roman" w:eastAsia="Times New Roman" w:hAnsi="Times New Roman" w:cs="Times New Roman"/>
                <w:color w:val="000000"/>
                <w:sz w:val="24"/>
                <w:szCs w:val="24"/>
                <w:lang w:eastAsia="en-GB"/>
              </w:rPr>
            </w:pPr>
            <w:r w:rsidRPr="009F49BA">
              <w:rPr>
                <w:rFonts w:ascii="Times New Roman" w:eastAsia="Times New Roman" w:hAnsi="Times New Roman" w:cs="Times New Roman"/>
                <w:color w:val="000000"/>
                <w:sz w:val="24"/>
                <w:szCs w:val="24"/>
                <w:lang w:eastAsia="en-GB"/>
              </w:rPr>
              <w:t>0.11</w:t>
            </w:r>
            <w:r>
              <w:rPr>
                <w:rFonts w:ascii="Times New Roman" w:eastAsia="Times New Roman" w:hAnsi="Times New Roman" w:cs="Times New Roman"/>
                <w:color w:val="000000"/>
                <w:sz w:val="24"/>
                <w:szCs w:val="24"/>
                <w:lang w:eastAsia="en-GB"/>
              </w:rPr>
              <w:t>0</w:t>
            </w:r>
          </w:p>
        </w:tc>
      </w:tr>
    </w:tbl>
    <w:p w14:paraId="6439A749" w14:textId="77777777" w:rsidR="00F00A59" w:rsidRDefault="00DF7D72" w:rsidP="001E601A">
      <w:pPr>
        <w:autoSpaceDE w:val="0"/>
        <w:autoSpaceDN w:val="0"/>
        <w:adjustRightInd w:val="0"/>
        <w:spacing w:after="0" w:line="240" w:lineRule="auto"/>
        <w:rPr>
          <w:rFonts w:ascii="Times New Roman" w:hAnsi="Times New Roman" w:cs="Times New Roman"/>
          <w:sz w:val="24"/>
          <w:szCs w:val="24"/>
        </w:rPr>
      </w:pPr>
      <w:r w:rsidRPr="00BD1B7F">
        <w:rPr>
          <w:rFonts w:ascii="Times New Roman" w:hAnsi="Times New Roman" w:cs="Times New Roman"/>
          <w:sz w:val="24"/>
          <w:szCs w:val="24"/>
        </w:rPr>
        <w:t>Note: The tests are cond</w:t>
      </w:r>
      <w:r>
        <w:rPr>
          <w:rFonts w:ascii="Times New Roman" w:hAnsi="Times New Roman" w:cs="Times New Roman"/>
          <w:sz w:val="24"/>
          <w:szCs w:val="24"/>
        </w:rPr>
        <w:t>ucted with a maximum lag of 0</w:t>
      </w:r>
      <w:r w:rsidRPr="00BD1B7F">
        <w:rPr>
          <w:rFonts w:ascii="Times New Roman" w:hAnsi="Times New Roman" w:cs="Times New Roman"/>
          <w:sz w:val="24"/>
          <w:szCs w:val="24"/>
        </w:rPr>
        <w:t xml:space="preserve">. </w:t>
      </w:r>
    </w:p>
    <w:p w14:paraId="12D38998" w14:textId="77777777" w:rsidR="001E601A" w:rsidRDefault="001E601A" w:rsidP="001E601A">
      <w:pPr>
        <w:autoSpaceDE w:val="0"/>
        <w:autoSpaceDN w:val="0"/>
        <w:adjustRightInd w:val="0"/>
        <w:spacing w:after="0" w:line="240" w:lineRule="auto"/>
        <w:rPr>
          <w:rFonts w:ascii="Times New Roman" w:hAnsi="Times New Roman" w:cs="Times New Roman"/>
          <w:sz w:val="24"/>
          <w:szCs w:val="24"/>
        </w:rPr>
      </w:pPr>
    </w:p>
    <w:p w14:paraId="5852392D" w14:textId="77777777" w:rsidR="001E601A" w:rsidRDefault="001E601A" w:rsidP="001E601A">
      <w:pPr>
        <w:autoSpaceDE w:val="0"/>
        <w:autoSpaceDN w:val="0"/>
        <w:adjustRightInd w:val="0"/>
        <w:spacing w:after="0" w:line="240" w:lineRule="auto"/>
        <w:rPr>
          <w:rFonts w:ascii="Times New Roman" w:hAnsi="Times New Roman" w:cs="Times New Roman"/>
          <w:sz w:val="24"/>
          <w:szCs w:val="24"/>
        </w:rPr>
      </w:pPr>
    </w:p>
    <w:p w14:paraId="65684C96" w14:textId="77777777" w:rsidR="009E18EB" w:rsidRPr="001E601A" w:rsidRDefault="00DF7D72" w:rsidP="00BE06F5">
      <w:pPr>
        <w:spacing w:line="240" w:lineRule="auto"/>
        <w:rPr>
          <w:rFonts w:ascii="Times New Roman" w:hAnsi="Times New Roman" w:cs="Times New Roman"/>
          <w:sz w:val="24"/>
          <w:szCs w:val="24"/>
        </w:rPr>
      </w:pPr>
      <w:r w:rsidRPr="001E601A">
        <w:rPr>
          <w:rFonts w:ascii="Times New Roman" w:hAnsi="Times New Roman" w:cs="Times New Roman"/>
          <w:sz w:val="24"/>
          <w:szCs w:val="24"/>
        </w:rPr>
        <w:t>Table 5: LR Test for Threshold Effect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985"/>
        <w:gridCol w:w="1417"/>
      </w:tblGrid>
      <w:tr w:rsidR="00AA47AF" w14:paraId="6A85C7CD" w14:textId="77777777" w:rsidTr="00B30A24">
        <w:tc>
          <w:tcPr>
            <w:tcW w:w="5387" w:type="dxa"/>
            <w:tcBorders>
              <w:top w:val="single" w:sz="4" w:space="0" w:color="auto"/>
              <w:bottom w:val="single" w:sz="4" w:space="0" w:color="auto"/>
            </w:tcBorders>
          </w:tcPr>
          <w:p w14:paraId="6D4EFD24" w14:textId="77777777" w:rsidR="009E18EB" w:rsidRPr="005152A4" w:rsidRDefault="00DF7D72" w:rsidP="00BE06F5">
            <w:pPr>
              <w:tabs>
                <w:tab w:val="left" w:pos="2182"/>
              </w:tabs>
              <w:rPr>
                <w:rFonts w:ascii="Times New Roman" w:hAnsi="Times New Roman" w:cs="Times New Roman"/>
                <w:b/>
                <w:sz w:val="24"/>
                <w:szCs w:val="24"/>
              </w:rPr>
            </w:pPr>
            <w:r>
              <w:rPr>
                <w:rFonts w:ascii="Times New Roman" w:hAnsi="Times New Roman" w:cs="Times New Roman"/>
                <w:b/>
                <w:sz w:val="24"/>
                <w:szCs w:val="24"/>
              </w:rPr>
              <w:t xml:space="preserve"> Null hypothesis</w:t>
            </w:r>
          </w:p>
        </w:tc>
        <w:tc>
          <w:tcPr>
            <w:tcW w:w="1985" w:type="dxa"/>
            <w:tcBorders>
              <w:top w:val="single" w:sz="4" w:space="0" w:color="auto"/>
              <w:bottom w:val="single" w:sz="4" w:space="0" w:color="auto"/>
            </w:tcBorders>
          </w:tcPr>
          <w:p w14:paraId="0A524871" w14:textId="77777777" w:rsidR="009E18EB" w:rsidRPr="005152A4" w:rsidRDefault="00DF7D72" w:rsidP="00BE06F5">
            <w:pPr>
              <w:rPr>
                <w:rFonts w:ascii="Times New Roman" w:hAnsi="Times New Roman" w:cs="Times New Roman"/>
                <w:b/>
                <w:sz w:val="24"/>
                <w:szCs w:val="24"/>
              </w:rPr>
            </w:pPr>
            <w:r w:rsidRPr="005152A4">
              <w:rPr>
                <w:rFonts w:ascii="Times New Roman" w:hAnsi="Times New Roman" w:cs="Times New Roman"/>
                <w:b/>
                <w:sz w:val="24"/>
                <w:szCs w:val="24"/>
              </w:rPr>
              <w:t>Statistic</w:t>
            </w:r>
          </w:p>
        </w:tc>
        <w:tc>
          <w:tcPr>
            <w:tcW w:w="1417" w:type="dxa"/>
            <w:tcBorders>
              <w:top w:val="single" w:sz="4" w:space="0" w:color="auto"/>
              <w:bottom w:val="single" w:sz="4" w:space="0" w:color="auto"/>
            </w:tcBorders>
          </w:tcPr>
          <w:p w14:paraId="11B1BBFE" w14:textId="77777777" w:rsidR="009E18EB" w:rsidRPr="005152A4" w:rsidRDefault="00DF7D72" w:rsidP="00BE06F5">
            <w:pPr>
              <w:rPr>
                <w:rFonts w:ascii="Times New Roman" w:hAnsi="Times New Roman" w:cs="Times New Roman"/>
                <w:b/>
                <w:sz w:val="24"/>
                <w:szCs w:val="24"/>
              </w:rPr>
            </w:pPr>
            <w:r w:rsidRPr="005152A4">
              <w:rPr>
                <w:rFonts w:ascii="Times New Roman" w:hAnsi="Times New Roman" w:cs="Times New Roman"/>
                <w:b/>
                <w:i/>
                <w:sz w:val="24"/>
                <w:szCs w:val="24"/>
              </w:rPr>
              <w:t>p</w:t>
            </w:r>
            <w:r w:rsidRPr="005152A4">
              <w:rPr>
                <w:rFonts w:ascii="Times New Roman" w:hAnsi="Times New Roman" w:cs="Times New Roman"/>
                <w:b/>
                <w:sz w:val="24"/>
                <w:szCs w:val="24"/>
              </w:rPr>
              <w:t>-value</w:t>
            </w:r>
          </w:p>
        </w:tc>
      </w:tr>
      <w:tr w:rsidR="00AA47AF" w14:paraId="60F2E422" w14:textId="77777777" w:rsidTr="00B30A24">
        <w:tc>
          <w:tcPr>
            <w:tcW w:w="5387" w:type="dxa"/>
            <w:tcBorders>
              <w:top w:val="single" w:sz="4" w:space="0" w:color="auto"/>
            </w:tcBorders>
          </w:tcPr>
          <w:p w14:paraId="294EFD15" w14:textId="77777777" w:rsidR="009E18EB" w:rsidRPr="005152A4" w:rsidRDefault="00DF7D72" w:rsidP="00BE06F5">
            <w:pPr>
              <w:rPr>
                <w:rFonts w:ascii="Times New Roman" w:hAnsi="Times New Roman" w:cs="Times New Roman"/>
                <w:sz w:val="24"/>
                <w:szCs w:val="24"/>
              </w:rPr>
            </w:pPr>
            <w:r>
              <w:rPr>
                <w:rFonts w:ascii="Times New Roman" w:hAnsi="Times New Roman" w:cs="Times New Roman"/>
                <w:position w:val="-12"/>
                <w:sz w:val="24"/>
                <w:szCs w:val="24"/>
              </w:rPr>
              <w:object w:dxaOrig="465" w:dyaOrig="360" w14:anchorId="04859C7D">
                <v:shape id="_x0000_i1059" type="#_x0000_t75" style="width:23.25pt;height:18pt" o:ole="">
                  <v:imagedata r:id="rId76" o:title=""/>
                </v:shape>
                <o:OLEObject Type="Embed" ProgID="Equation.DSMT4" ShapeID="_x0000_i1059" DrawAspect="Content" ObjectID="_1770110320" r:id="rId77"/>
              </w:object>
            </w:r>
            <w:r>
              <w:rPr>
                <w:rFonts w:ascii="Times New Roman" w:hAnsi="Times New Roman" w:cs="Times New Roman"/>
                <w:sz w:val="24"/>
                <w:szCs w:val="24"/>
              </w:rPr>
              <w:t>There is no threshold effect</w:t>
            </w:r>
            <w:r w:rsidRPr="005152A4">
              <w:rPr>
                <w:rFonts w:ascii="Times New Roman" w:hAnsi="Times New Roman" w:cs="Times New Roman"/>
                <w:sz w:val="24"/>
                <w:szCs w:val="24"/>
              </w:rPr>
              <w:t xml:space="preserve"> </w:t>
            </w:r>
            <w:r>
              <w:rPr>
                <w:position w:val="-10"/>
              </w:rPr>
              <w:object w:dxaOrig="765" w:dyaOrig="315" w14:anchorId="14D11AE4">
                <v:shape id="_x0000_i1060" type="#_x0000_t75" style="width:38.25pt;height:15pt" o:ole="">
                  <v:imagedata r:id="rId78" o:title=""/>
                </v:shape>
                <o:OLEObject Type="Embed" ProgID="Equation.DSMT4" ShapeID="_x0000_i1060" DrawAspect="Content" ObjectID="_1770110321" r:id="rId79"/>
              </w:object>
            </w:r>
          </w:p>
        </w:tc>
        <w:tc>
          <w:tcPr>
            <w:tcW w:w="1985" w:type="dxa"/>
            <w:tcBorders>
              <w:top w:val="single" w:sz="4" w:space="0" w:color="auto"/>
            </w:tcBorders>
          </w:tcPr>
          <w:p w14:paraId="564FE0E6" w14:textId="77777777" w:rsidR="009E18EB" w:rsidRPr="005152A4" w:rsidRDefault="00DF7D72" w:rsidP="00BE06F5">
            <w:pPr>
              <w:rPr>
                <w:rFonts w:ascii="Times New Roman" w:hAnsi="Times New Roman" w:cs="Times New Roman"/>
                <w:sz w:val="24"/>
                <w:szCs w:val="24"/>
              </w:rPr>
            </w:pPr>
            <w:r w:rsidRPr="005152A4">
              <w:rPr>
                <w:rFonts w:ascii="Times New Roman" w:hAnsi="Times New Roman" w:cs="Times New Roman"/>
                <w:sz w:val="24"/>
                <w:szCs w:val="24"/>
              </w:rPr>
              <w:t>38.296</w:t>
            </w:r>
            <w:r>
              <w:rPr>
                <w:rFonts w:ascii="Times New Roman" w:hAnsi="Times New Roman" w:cs="Times New Roman"/>
                <w:sz w:val="24"/>
                <w:szCs w:val="24"/>
              </w:rPr>
              <w:t>***</w:t>
            </w:r>
          </w:p>
        </w:tc>
        <w:tc>
          <w:tcPr>
            <w:tcW w:w="1417" w:type="dxa"/>
            <w:tcBorders>
              <w:top w:val="single" w:sz="4" w:space="0" w:color="auto"/>
            </w:tcBorders>
          </w:tcPr>
          <w:p w14:paraId="5173C254" w14:textId="77777777" w:rsidR="009E18EB" w:rsidRPr="005152A4" w:rsidRDefault="00DF7D72" w:rsidP="00BE06F5">
            <w:pPr>
              <w:rPr>
                <w:rFonts w:ascii="Times New Roman" w:hAnsi="Times New Roman" w:cs="Times New Roman"/>
                <w:sz w:val="24"/>
                <w:szCs w:val="24"/>
              </w:rPr>
            </w:pPr>
            <w:r w:rsidRPr="005152A4">
              <w:rPr>
                <w:rFonts w:ascii="Times New Roman" w:hAnsi="Times New Roman" w:cs="Times New Roman"/>
                <w:sz w:val="24"/>
                <w:szCs w:val="24"/>
              </w:rPr>
              <w:t>[0.0000]</w:t>
            </w:r>
          </w:p>
        </w:tc>
      </w:tr>
      <w:tr w:rsidR="00AA47AF" w14:paraId="5DAA6C5D" w14:textId="77777777" w:rsidTr="00B30A24">
        <w:tc>
          <w:tcPr>
            <w:tcW w:w="5387" w:type="dxa"/>
          </w:tcPr>
          <w:p w14:paraId="6126E176" w14:textId="77777777" w:rsidR="009E18EB" w:rsidRPr="005152A4" w:rsidRDefault="00DF7D72" w:rsidP="00BE06F5">
            <w:pPr>
              <w:rPr>
                <w:rFonts w:ascii="Times New Roman" w:hAnsi="Times New Roman" w:cs="Times New Roman"/>
                <w:sz w:val="24"/>
                <w:szCs w:val="24"/>
              </w:rPr>
            </w:pPr>
            <w:r>
              <w:rPr>
                <w:rFonts w:ascii="Times New Roman" w:hAnsi="Times New Roman" w:cs="Times New Roman"/>
                <w:position w:val="-12"/>
                <w:sz w:val="24"/>
                <w:szCs w:val="24"/>
              </w:rPr>
              <w:object w:dxaOrig="465" w:dyaOrig="360" w14:anchorId="35014823">
                <v:shape id="_x0000_i1061" type="#_x0000_t75" style="width:23.25pt;height:18pt" o:ole="">
                  <v:imagedata r:id="rId76" o:title=""/>
                </v:shape>
                <o:OLEObject Type="Embed" ProgID="Equation.DSMT4" ShapeID="_x0000_i1061" DrawAspect="Content" ObjectID="_1770110322" r:id="rId80"/>
              </w:object>
            </w:r>
            <w:r w:rsidRPr="005152A4">
              <w:rPr>
                <w:rFonts w:ascii="Times New Roman" w:hAnsi="Times New Roman" w:cs="Times New Roman"/>
                <w:sz w:val="24"/>
                <w:szCs w:val="24"/>
              </w:rPr>
              <w:t xml:space="preserve"> There </w:t>
            </w:r>
            <w:r>
              <w:rPr>
                <w:rFonts w:ascii="Times New Roman" w:hAnsi="Times New Roman" w:cs="Times New Roman"/>
                <w:sz w:val="24"/>
                <w:szCs w:val="24"/>
              </w:rPr>
              <w:t>is at most one threshold effect</w:t>
            </w:r>
            <w:r w:rsidRPr="005152A4">
              <w:rPr>
                <w:rFonts w:ascii="Times New Roman" w:hAnsi="Times New Roman" w:cs="Times New Roman"/>
                <w:sz w:val="24"/>
                <w:szCs w:val="24"/>
              </w:rPr>
              <w:t xml:space="preserve"> </w:t>
            </w:r>
            <w:r>
              <w:rPr>
                <w:position w:val="-10"/>
              </w:rPr>
              <w:object w:dxaOrig="720" w:dyaOrig="315" w14:anchorId="0D39401C">
                <v:shape id="_x0000_i1062" type="#_x0000_t75" style="width:36pt;height:15pt" o:ole="">
                  <v:imagedata r:id="rId81" o:title=""/>
                </v:shape>
                <o:OLEObject Type="Embed" ProgID="Equation.DSMT4" ShapeID="_x0000_i1062" DrawAspect="Content" ObjectID="_1770110323" r:id="rId82"/>
              </w:object>
            </w:r>
          </w:p>
        </w:tc>
        <w:tc>
          <w:tcPr>
            <w:tcW w:w="1985" w:type="dxa"/>
          </w:tcPr>
          <w:p w14:paraId="2BA46866" w14:textId="77777777" w:rsidR="009E18EB" w:rsidRPr="005152A4" w:rsidRDefault="00DF7D72" w:rsidP="00BE06F5">
            <w:pPr>
              <w:rPr>
                <w:rFonts w:ascii="Times New Roman" w:hAnsi="Times New Roman" w:cs="Times New Roman"/>
                <w:sz w:val="24"/>
                <w:szCs w:val="24"/>
              </w:rPr>
            </w:pPr>
            <w:r w:rsidRPr="005152A4">
              <w:rPr>
                <w:rFonts w:ascii="Times New Roman" w:hAnsi="Times New Roman" w:cs="Times New Roman"/>
                <w:sz w:val="24"/>
                <w:szCs w:val="24"/>
              </w:rPr>
              <w:t xml:space="preserve"> 2.9012</w:t>
            </w:r>
          </w:p>
        </w:tc>
        <w:tc>
          <w:tcPr>
            <w:tcW w:w="1417" w:type="dxa"/>
          </w:tcPr>
          <w:p w14:paraId="5D45E68C" w14:textId="77777777" w:rsidR="009E18EB" w:rsidRPr="005152A4" w:rsidRDefault="00DF7D72" w:rsidP="00BE06F5">
            <w:pPr>
              <w:rPr>
                <w:rFonts w:ascii="Times New Roman" w:hAnsi="Times New Roman" w:cs="Times New Roman"/>
                <w:sz w:val="24"/>
                <w:szCs w:val="24"/>
              </w:rPr>
            </w:pPr>
            <w:r w:rsidRPr="005152A4">
              <w:rPr>
                <w:rFonts w:ascii="Times New Roman" w:hAnsi="Times New Roman" w:cs="Times New Roman"/>
                <w:sz w:val="24"/>
                <w:szCs w:val="24"/>
              </w:rPr>
              <w:t>[0.7092]</w:t>
            </w:r>
          </w:p>
        </w:tc>
      </w:tr>
    </w:tbl>
    <w:p w14:paraId="6E0C0E03" w14:textId="77777777" w:rsidR="009E18EB" w:rsidRPr="003D0764" w:rsidRDefault="00DF7D72" w:rsidP="00B71D28">
      <w:pPr>
        <w:pBdr>
          <w:top w:val="single" w:sz="4" w:space="1" w:color="auto"/>
        </w:pBdr>
        <w:spacing w:after="0" w:line="240" w:lineRule="auto"/>
        <w:ind w:left="142"/>
        <w:jc w:val="both"/>
        <w:rPr>
          <w:rFonts w:ascii="Times New Roman" w:hAnsi="Times New Roman" w:cs="Times New Roman"/>
          <w:sz w:val="20"/>
          <w:szCs w:val="20"/>
        </w:rPr>
      </w:pPr>
      <w:r w:rsidRPr="00FB0E59">
        <w:rPr>
          <w:rFonts w:ascii="Times New Roman" w:hAnsi="Times New Roman" w:cs="Times New Roman"/>
          <w:b/>
          <w:sz w:val="20"/>
          <w:szCs w:val="20"/>
        </w:rPr>
        <w:t>Notes:</w:t>
      </w:r>
      <w:r w:rsidRPr="00FB0E59">
        <w:rPr>
          <w:rFonts w:ascii="Times New Roman" w:hAnsi="Times New Roman" w:cs="Times New Roman"/>
          <w:sz w:val="20"/>
          <w:szCs w:val="20"/>
        </w:rPr>
        <w:t xml:space="preserve"> ***</w:t>
      </w:r>
      <w:r>
        <w:rPr>
          <w:rFonts w:ascii="Times New Roman" w:hAnsi="Times New Roman" w:cs="Times New Roman"/>
          <w:sz w:val="20"/>
          <w:szCs w:val="20"/>
        </w:rPr>
        <w:t xml:space="preserve"> denotes statistically significant at</w:t>
      </w:r>
      <w:r w:rsidRPr="00FB0E59">
        <w:rPr>
          <w:rFonts w:ascii="Times New Roman" w:hAnsi="Times New Roman" w:cs="Times New Roman"/>
          <w:sz w:val="20"/>
          <w:szCs w:val="20"/>
        </w:rPr>
        <w:t xml:space="preserve"> 1% level</w:t>
      </w:r>
      <w:r>
        <w:rPr>
          <w:rFonts w:ascii="Times New Roman" w:hAnsi="Times New Roman" w:cs="Times New Roman"/>
          <w:sz w:val="20"/>
          <w:szCs w:val="20"/>
        </w:rPr>
        <w:t xml:space="preserve">. [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denotes </w:t>
      </w:r>
      <w:r w:rsidRPr="009E18EB">
        <w:rPr>
          <w:rFonts w:ascii="Times New Roman" w:hAnsi="Times New Roman" w:cs="Times New Roman"/>
          <w:i/>
          <w:sz w:val="20"/>
          <w:szCs w:val="20"/>
        </w:rPr>
        <w:t>p</w:t>
      </w:r>
      <w:r>
        <w:rPr>
          <w:rFonts w:ascii="Times New Roman" w:hAnsi="Times New Roman" w:cs="Times New Roman"/>
          <w:sz w:val="20"/>
          <w:szCs w:val="20"/>
        </w:rPr>
        <w:t>-</w:t>
      </w:r>
      <w:proofErr w:type="spellStart"/>
      <w:r>
        <w:rPr>
          <w:rFonts w:ascii="Times New Roman" w:hAnsi="Times New Roman" w:cs="Times New Roman"/>
          <w:sz w:val="20"/>
          <w:szCs w:val="20"/>
        </w:rPr>
        <w:t>avule</w:t>
      </w:r>
      <w:proofErr w:type="spellEnd"/>
      <w:r>
        <w:rPr>
          <w:rFonts w:ascii="Times New Roman" w:hAnsi="Times New Roman" w:cs="Times New Roman"/>
          <w:sz w:val="20"/>
          <w:szCs w:val="20"/>
        </w:rPr>
        <w:t xml:space="preserve"> of LR test </w:t>
      </w:r>
    </w:p>
    <w:p w14:paraId="5F828E50" w14:textId="77777777" w:rsidR="009E18EB" w:rsidRDefault="009E18EB" w:rsidP="00BE06F5">
      <w:pPr>
        <w:spacing w:line="240" w:lineRule="auto"/>
        <w:rPr>
          <w:rFonts w:ascii="Times New Roman" w:hAnsi="Times New Roman" w:cs="Times New Roman"/>
          <w:sz w:val="24"/>
          <w:szCs w:val="24"/>
        </w:rPr>
      </w:pPr>
    </w:p>
    <w:p w14:paraId="2E9A6B68" w14:textId="77777777" w:rsidR="00B71D28" w:rsidRPr="003D2FE4" w:rsidRDefault="00B71D28" w:rsidP="00BE06F5">
      <w:pPr>
        <w:spacing w:line="240" w:lineRule="auto"/>
        <w:rPr>
          <w:rFonts w:ascii="Times New Roman" w:hAnsi="Times New Roman" w:cs="Times New Roman"/>
          <w:sz w:val="24"/>
          <w:szCs w:val="24"/>
        </w:rPr>
      </w:pPr>
    </w:p>
    <w:p w14:paraId="75172E2C" w14:textId="77777777" w:rsidR="0012130C" w:rsidRPr="001E601A" w:rsidRDefault="00DF7D72" w:rsidP="001E601A">
      <w:pPr>
        <w:autoSpaceDE w:val="0"/>
        <w:autoSpaceDN w:val="0"/>
        <w:adjustRightInd w:val="0"/>
        <w:spacing w:after="0" w:line="360" w:lineRule="auto"/>
        <w:jc w:val="both"/>
        <w:rPr>
          <w:rFonts w:ascii="Times New Roman" w:hAnsi="Times New Roman" w:cs="Times New Roman"/>
          <w:sz w:val="24"/>
          <w:szCs w:val="24"/>
        </w:rPr>
      </w:pPr>
      <w:r w:rsidRPr="001E601A">
        <w:rPr>
          <w:rFonts w:ascii="Times New Roman" w:hAnsi="Times New Roman" w:cs="Times New Roman"/>
          <w:sz w:val="24"/>
          <w:szCs w:val="24"/>
        </w:rPr>
        <w:lastRenderedPageBreak/>
        <w:t xml:space="preserve">Table 6: </w:t>
      </w:r>
      <w:r w:rsidR="00974F43" w:rsidRPr="001E601A">
        <w:rPr>
          <w:rFonts w:ascii="Times New Roman" w:hAnsi="Times New Roman" w:cs="Times New Roman"/>
          <w:sz w:val="24"/>
          <w:szCs w:val="24"/>
        </w:rPr>
        <w:t xml:space="preserve">Results of </w:t>
      </w:r>
      <w:r w:rsidRPr="001E601A">
        <w:rPr>
          <w:rFonts w:ascii="Times New Roman" w:hAnsi="Times New Roman" w:cs="Times New Roman"/>
          <w:sz w:val="24"/>
          <w:szCs w:val="24"/>
        </w:rPr>
        <w:t>Threshold</w:t>
      </w:r>
      <w:r w:rsidR="00974F43" w:rsidRPr="001E601A">
        <w:rPr>
          <w:rFonts w:ascii="Times New Roman" w:hAnsi="Times New Roman" w:cs="Times New Roman"/>
          <w:sz w:val="24"/>
          <w:szCs w:val="24"/>
        </w:rPr>
        <w:t xml:space="preserve"> Effect</w:t>
      </w:r>
    </w:p>
    <w:tbl>
      <w:tblPr>
        <w:tblStyle w:val="Tabellrutenett"/>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106"/>
        <w:gridCol w:w="2126"/>
        <w:gridCol w:w="2268"/>
      </w:tblGrid>
      <w:tr w:rsidR="00AA47AF" w14:paraId="38B49022" w14:textId="77777777" w:rsidTr="009E18EB">
        <w:tc>
          <w:tcPr>
            <w:tcW w:w="8784" w:type="dxa"/>
            <w:gridSpan w:val="4"/>
            <w:tcBorders>
              <w:top w:val="single" w:sz="4" w:space="0" w:color="auto"/>
            </w:tcBorders>
            <w:hideMark/>
          </w:tcPr>
          <w:p w14:paraId="1553536F" w14:textId="77777777" w:rsidR="0012130C" w:rsidRPr="00B56CB6" w:rsidRDefault="00DF7D72" w:rsidP="00BE06F5">
            <w:pPr>
              <w:autoSpaceDE w:val="0"/>
              <w:autoSpaceDN w:val="0"/>
              <w:adjustRightInd w:val="0"/>
              <w:rPr>
                <w:rFonts w:ascii="Times New Roman" w:hAnsi="Times New Roman" w:cs="Times New Roman"/>
                <w:b/>
                <w:sz w:val="24"/>
                <w:szCs w:val="24"/>
              </w:rPr>
            </w:pPr>
            <w:r w:rsidRPr="00B56CB6">
              <w:rPr>
                <w:rFonts w:ascii="Times New Roman" w:hAnsi="Times New Roman" w:cs="Times New Roman"/>
                <w:b/>
                <w:sz w:val="24"/>
                <w:szCs w:val="24"/>
              </w:rPr>
              <w:t xml:space="preserve">Dependent Variable = </w:t>
            </w:r>
            <m:oMath>
              <m:r>
                <w:rPr>
                  <w:rFonts w:ascii="Cambria Math" w:hAnsi="Cambria Math" w:cs="Times New Roman"/>
                  <w:sz w:val="24"/>
                  <w:szCs w:val="24"/>
                </w:rPr>
                <m:t>lnEP</m:t>
              </m:r>
            </m:oMath>
          </w:p>
        </w:tc>
      </w:tr>
      <w:tr w:rsidR="00AA47AF" w14:paraId="42F1F0F3" w14:textId="77777777" w:rsidTr="009E18EB">
        <w:tc>
          <w:tcPr>
            <w:tcW w:w="284" w:type="dxa"/>
            <w:tcBorders>
              <w:bottom w:val="single" w:sz="4" w:space="0" w:color="auto"/>
            </w:tcBorders>
          </w:tcPr>
          <w:p w14:paraId="020A34C8" w14:textId="77777777" w:rsidR="00974F43" w:rsidRPr="00B56CB6" w:rsidRDefault="00974F43" w:rsidP="00BE06F5">
            <w:pPr>
              <w:rPr>
                <w:rFonts w:ascii="Times New Roman" w:hAnsi="Times New Roman" w:cs="Times New Roman"/>
                <w:sz w:val="24"/>
                <w:szCs w:val="24"/>
              </w:rPr>
            </w:pPr>
          </w:p>
        </w:tc>
        <w:tc>
          <w:tcPr>
            <w:tcW w:w="4106" w:type="dxa"/>
            <w:tcBorders>
              <w:bottom w:val="single" w:sz="4" w:space="0" w:color="auto"/>
            </w:tcBorders>
          </w:tcPr>
          <w:p w14:paraId="5C979A9F" w14:textId="77777777" w:rsidR="00974F43" w:rsidRPr="00B56CB6" w:rsidRDefault="00DF7D72" w:rsidP="00BE06F5">
            <w:pPr>
              <w:jc w:val="center"/>
              <w:rPr>
                <w:rFonts w:ascii="Times New Roman" w:hAnsi="Times New Roman" w:cs="Times New Roman"/>
                <w:sz w:val="24"/>
                <w:szCs w:val="24"/>
              </w:rPr>
            </w:pPr>
            <w:r w:rsidRPr="00B56CB6">
              <w:rPr>
                <w:rFonts w:ascii="Times New Roman" w:hAnsi="Times New Roman" w:cs="Times New Roman"/>
                <w:b/>
                <w:sz w:val="24"/>
                <w:szCs w:val="24"/>
              </w:rPr>
              <w:t>Variables</w:t>
            </w:r>
          </w:p>
        </w:tc>
        <w:tc>
          <w:tcPr>
            <w:tcW w:w="2126" w:type="dxa"/>
            <w:tcBorders>
              <w:bottom w:val="single" w:sz="4" w:space="0" w:color="auto"/>
            </w:tcBorders>
          </w:tcPr>
          <w:p w14:paraId="3F13A7EC" w14:textId="77777777" w:rsidR="00974F43" w:rsidRPr="00B56CB6" w:rsidRDefault="00DF7D72" w:rsidP="00BE06F5">
            <w:pPr>
              <w:jc w:val="center"/>
              <w:rPr>
                <w:rFonts w:ascii="Times New Roman" w:hAnsi="Times New Roman" w:cs="Times New Roman"/>
                <w:sz w:val="24"/>
                <w:szCs w:val="24"/>
              </w:rPr>
            </w:pPr>
            <w:r w:rsidRPr="00B56CB6">
              <w:rPr>
                <w:rFonts w:ascii="Times New Roman" w:hAnsi="Times New Roman" w:cs="Times New Roman"/>
                <w:b/>
                <w:sz w:val="24"/>
                <w:szCs w:val="24"/>
              </w:rPr>
              <w:t>Coefficient</w:t>
            </w:r>
          </w:p>
        </w:tc>
        <w:tc>
          <w:tcPr>
            <w:tcW w:w="2268" w:type="dxa"/>
            <w:tcBorders>
              <w:bottom w:val="single" w:sz="4" w:space="0" w:color="auto"/>
            </w:tcBorders>
          </w:tcPr>
          <w:p w14:paraId="701DD143" w14:textId="77777777" w:rsidR="00974F43" w:rsidRPr="00B56CB6" w:rsidRDefault="00DF7D72" w:rsidP="00BE06F5">
            <w:pPr>
              <w:jc w:val="center"/>
              <w:rPr>
                <w:rFonts w:ascii="Times New Roman" w:hAnsi="Times New Roman" w:cs="Times New Roman"/>
                <w:sz w:val="24"/>
                <w:szCs w:val="24"/>
              </w:rPr>
            </w:pPr>
            <w:r w:rsidRPr="00B56CB6">
              <w:rPr>
                <w:rFonts w:ascii="Times New Roman" w:hAnsi="Times New Roman" w:cs="Times New Roman"/>
                <w:b/>
                <w:sz w:val="24"/>
                <w:szCs w:val="24"/>
              </w:rPr>
              <w:t>Std. Error</w:t>
            </w:r>
          </w:p>
        </w:tc>
      </w:tr>
      <w:tr w:rsidR="00AA47AF" w14:paraId="381C0C4B" w14:textId="77777777" w:rsidTr="009E18EB">
        <w:tc>
          <w:tcPr>
            <w:tcW w:w="284" w:type="dxa"/>
            <w:tcBorders>
              <w:top w:val="single" w:sz="4" w:space="0" w:color="auto"/>
            </w:tcBorders>
          </w:tcPr>
          <w:p w14:paraId="56B56C9F" w14:textId="77777777" w:rsidR="00974F43" w:rsidRPr="00B56CB6" w:rsidRDefault="00974F43" w:rsidP="00BE06F5">
            <w:pPr>
              <w:rPr>
                <w:rFonts w:ascii="Times New Roman" w:hAnsi="Times New Roman" w:cs="Times New Roman"/>
                <w:sz w:val="24"/>
                <w:szCs w:val="24"/>
              </w:rPr>
            </w:pPr>
          </w:p>
        </w:tc>
        <w:tc>
          <w:tcPr>
            <w:tcW w:w="4106" w:type="dxa"/>
            <w:tcBorders>
              <w:top w:val="single" w:sz="4" w:space="0" w:color="auto"/>
            </w:tcBorders>
          </w:tcPr>
          <w:p w14:paraId="09150182" w14:textId="77777777" w:rsidR="00974F43" w:rsidRPr="00B56CB6" w:rsidRDefault="00DF7D72" w:rsidP="00BE06F5">
            <w:pPr>
              <w:jc w:val="center"/>
              <w:rPr>
                <w:rFonts w:ascii="Times New Roman" w:hAnsi="Times New Roman" w:cs="Times New Roman"/>
                <w:b/>
                <w:sz w:val="24"/>
                <w:szCs w:val="24"/>
              </w:rPr>
            </w:pPr>
            <w:r w:rsidRPr="00B56CB6">
              <w:rPr>
                <w:rFonts w:ascii="Times New Roman" w:hAnsi="Times New Roman" w:cs="Times New Roman"/>
                <w:sz w:val="24"/>
                <w:szCs w:val="24"/>
                <w:lang w:val="en-US"/>
              </w:rPr>
              <w:t>Estimated Threshold</w:t>
            </w:r>
          </w:p>
        </w:tc>
        <w:tc>
          <w:tcPr>
            <w:tcW w:w="2126" w:type="dxa"/>
            <w:tcBorders>
              <w:top w:val="single" w:sz="4" w:space="0" w:color="auto"/>
            </w:tcBorders>
          </w:tcPr>
          <w:p w14:paraId="05E7815E" w14:textId="77777777" w:rsidR="00974F43" w:rsidRPr="00B56CB6" w:rsidRDefault="00974F43" w:rsidP="00BE06F5">
            <w:pPr>
              <w:jc w:val="center"/>
              <w:rPr>
                <w:rFonts w:ascii="Times New Roman" w:hAnsi="Times New Roman" w:cs="Times New Roman"/>
                <w:b/>
                <w:sz w:val="24"/>
                <w:szCs w:val="24"/>
              </w:rPr>
            </w:pPr>
          </w:p>
        </w:tc>
        <w:tc>
          <w:tcPr>
            <w:tcW w:w="2268" w:type="dxa"/>
            <w:tcBorders>
              <w:top w:val="single" w:sz="4" w:space="0" w:color="auto"/>
            </w:tcBorders>
          </w:tcPr>
          <w:p w14:paraId="1D5A9BE9" w14:textId="77777777" w:rsidR="00974F43" w:rsidRPr="00B56CB6" w:rsidRDefault="00974F43" w:rsidP="00BE06F5">
            <w:pPr>
              <w:jc w:val="center"/>
              <w:rPr>
                <w:rFonts w:ascii="Times New Roman" w:hAnsi="Times New Roman" w:cs="Times New Roman"/>
                <w:b/>
                <w:sz w:val="24"/>
                <w:szCs w:val="24"/>
              </w:rPr>
            </w:pPr>
          </w:p>
        </w:tc>
      </w:tr>
      <w:tr w:rsidR="00AA47AF" w14:paraId="2EA20289" w14:textId="77777777" w:rsidTr="009E18EB">
        <w:tc>
          <w:tcPr>
            <w:tcW w:w="284" w:type="dxa"/>
          </w:tcPr>
          <w:p w14:paraId="27105A23" w14:textId="77777777" w:rsidR="00974F43" w:rsidRPr="00B56CB6" w:rsidRDefault="00974F43" w:rsidP="00BE06F5">
            <w:pPr>
              <w:rPr>
                <w:rFonts w:ascii="Times New Roman" w:hAnsi="Times New Roman" w:cs="Times New Roman"/>
                <w:sz w:val="24"/>
                <w:szCs w:val="24"/>
              </w:rPr>
            </w:pPr>
          </w:p>
        </w:tc>
        <w:tc>
          <w:tcPr>
            <w:tcW w:w="4106" w:type="dxa"/>
          </w:tcPr>
          <w:p w14:paraId="395EAFBB" w14:textId="77777777" w:rsidR="00974F43" w:rsidRPr="00B56CB6" w:rsidRDefault="00DF7D72" w:rsidP="00BE06F5">
            <w:pPr>
              <w:jc w:val="center"/>
              <w:rPr>
                <w:rFonts w:ascii="Times New Roman" w:hAnsi="Times New Roman" w:cs="Times New Roman"/>
                <w:sz w:val="24"/>
                <w:szCs w:val="24"/>
                <w:lang w:val="en-US"/>
              </w:rPr>
            </w:pPr>
            <m:oMath>
              <m:r>
                <w:rPr>
                  <w:rFonts w:ascii="Cambria Math" w:hAnsi="Cambria Math" w:cs="Times New Roman"/>
                  <w:sz w:val="24"/>
                  <w:szCs w:val="24"/>
                  <w:lang w:val="en-US"/>
                </w:rPr>
                <m:t>(</m:t>
              </m:r>
              <m:acc>
                <m:accPr>
                  <m:ctrlPr>
                    <w:rPr>
                      <w:rFonts w:ascii="Cambria Math" w:hAnsi="Cambria Math" w:cs="Times New Roman"/>
                      <w:i/>
                      <w:sz w:val="24"/>
                      <w:szCs w:val="24"/>
                      <w:lang w:val="en-US"/>
                    </w:rPr>
                  </m:ctrlPr>
                </m:accPr>
                <m:e>
                  <m:r>
                    <w:rPr>
                      <w:rFonts w:ascii="Cambria Math" w:hAnsi="Cambria Math" w:cs="Times New Roman"/>
                      <w:sz w:val="24"/>
                      <w:szCs w:val="24"/>
                      <w:lang w:val="en-US"/>
                    </w:rPr>
                    <m:t>γ</m:t>
                  </m:r>
                </m:e>
              </m:acc>
              <m:r>
                <w:rPr>
                  <w:rFonts w:ascii="Cambria Math" w:hAnsi="Cambria Math" w:cs="Times New Roman"/>
                  <w:sz w:val="24"/>
                  <w:szCs w:val="24"/>
                  <w:lang w:val="en-US"/>
                </w:rPr>
                <m:t>)</m:t>
              </m:r>
            </m:oMath>
            <w:r w:rsidRPr="00B56CB6">
              <w:rPr>
                <w:rFonts w:ascii="Times New Roman" w:hAnsi="Times New Roman" w:cs="Times New Roman"/>
                <w:sz w:val="24"/>
                <w:szCs w:val="24"/>
                <w:lang w:val="en-US"/>
              </w:rPr>
              <w:t xml:space="preserve"> </w:t>
            </w:r>
          </w:p>
          <w:p w14:paraId="00886990" w14:textId="77777777" w:rsidR="00974F43" w:rsidRPr="00B56CB6" w:rsidRDefault="00DF7D72" w:rsidP="00BE06F5">
            <w:pPr>
              <w:jc w:val="center"/>
              <w:rPr>
                <w:rFonts w:ascii="Times New Roman" w:hAnsi="Times New Roman" w:cs="Times New Roman"/>
                <w:sz w:val="24"/>
                <w:szCs w:val="24"/>
              </w:rPr>
            </w:pPr>
            <w:r w:rsidRPr="00B56CB6">
              <w:rPr>
                <w:rFonts w:ascii="Times New Roman" w:hAnsi="Times New Roman" w:cs="Times New Roman"/>
                <w:sz w:val="24"/>
                <w:szCs w:val="24"/>
              </w:rPr>
              <w:t>Confidence Interval (95%)</w:t>
            </w:r>
          </w:p>
        </w:tc>
        <w:tc>
          <w:tcPr>
            <w:tcW w:w="2126" w:type="dxa"/>
          </w:tcPr>
          <w:p w14:paraId="0C465783" w14:textId="77777777" w:rsidR="00974F43" w:rsidRDefault="00DF7D72" w:rsidP="00BE06F5">
            <w:pPr>
              <w:jc w:val="center"/>
              <w:rPr>
                <w:rFonts w:ascii="Times New Roman" w:hAnsi="Times New Roman" w:cs="Times New Roman"/>
                <w:sz w:val="24"/>
                <w:szCs w:val="24"/>
              </w:rPr>
            </w:pPr>
            <w:r w:rsidRPr="00023F06">
              <w:rPr>
                <w:rFonts w:ascii="Times New Roman" w:hAnsi="Times New Roman" w:cs="Times New Roman"/>
                <w:sz w:val="24"/>
                <w:szCs w:val="24"/>
              </w:rPr>
              <w:t>5.4797</w:t>
            </w:r>
            <w:r w:rsidRPr="00023F06">
              <w:rPr>
                <w:rFonts w:ascii="Times New Roman" w:hAnsi="Times New Roman" w:cs="Times New Roman"/>
                <w:sz w:val="24"/>
                <w:szCs w:val="24"/>
                <w:vertAlign w:val="superscript"/>
              </w:rPr>
              <w:t>***</w:t>
            </w:r>
            <w:r w:rsidRPr="00023F06">
              <w:rPr>
                <w:rFonts w:ascii="Times New Roman" w:hAnsi="Times New Roman" w:cs="Times New Roman"/>
                <w:sz w:val="24"/>
                <w:szCs w:val="24"/>
              </w:rPr>
              <w:t xml:space="preserve"> </w:t>
            </w:r>
          </w:p>
          <w:p w14:paraId="0197F7CA" w14:textId="77777777" w:rsidR="00974F43" w:rsidRPr="00B56CB6" w:rsidRDefault="00DF7D72" w:rsidP="00BE06F5">
            <w:pPr>
              <w:jc w:val="center"/>
              <w:rPr>
                <w:rFonts w:ascii="Times New Roman" w:hAnsi="Times New Roman" w:cs="Times New Roman"/>
                <w:sz w:val="24"/>
                <w:szCs w:val="24"/>
              </w:rPr>
            </w:pPr>
            <w:r>
              <w:rPr>
                <w:rFonts w:ascii="Times New Roman" w:hAnsi="Times New Roman" w:cs="Times New Roman"/>
                <w:sz w:val="24"/>
                <w:szCs w:val="24"/>
              </w:rPr>
              <w:t>[</w:t>
            </w:r>
            <w:r w:rsidRPr="0012130C">
              <w:rPr>
                <w:rFonts w:ascii="Times New Roman" w:hAnsi="Times New Roman" w:cs="Times New Roman"/>
                <w:sz w:val="24"/>
                <w:szCs w:val="24"/>
              </w:rPr>
              <w:t>5.3657</w:t>
            </w:r>
            <w:r>
              <w:rPr>
                <w:rFonts w:ascii="Times New Roman" w:hAnsi="Times New Roman" w:cs="Times New Roman"/>
                <w:sz w:val="24"/>
                <w:szCs w:val="24"/>
              </w:rPr>
              <w:t xml:space="preserve">,  </w:t>
            </w:r>
            <w:r w:rsidRPr="007E6EE2">
              <w:rPr>
                <w:rFonts w:ascii="Times New Roman" w:hAnsi="Times New Roman" w:cs="Times New Roman"/>
                <w:sz w:val="24"/>
                <w:szCs w:val="24"/>
              </w:rPr>
              <w:t xml:space="preserve"> </w:t>
            </w:r>
            <w:r w:rsidRPr="0012130C">
              <w:rPr>
                <w:rFonts w:ascii="Times New Roman" w:hAnsi="Times New Roman" w:cs="Times New Roman"/>
                <w:sz w:val="24"/>
                <w:szCs w:val="24"/>
              </w:rPr>
              <w:t>5.5441</w:t>
            </w:r>
            <w:r w:rsidRPr="00B56CB6">
              <w:rPr>
                <w:rFonts w:ascii="Times New Roman" w:hAnsi="Times New Roman" w:cs="Times New Roman"/>
                <w:sz w:val="24"/>
                <w:szCs w:val="24"/>
              </w:rPr>
              <w:t>]</w:t>
            </w:r>
          </w:p>
          <w:p w14:paraId="3E09AC07" w14:textId="77777777" w:rsidR="00974F43" w:rsidRPr="00B56CB6" w:rsidRDefault="00974F43" w:rsidP="00BE06F5">
            <w:pPr>
              <w:jc w:val="center"/>
              <w:rPr>
                <w:rFonts w:ascii="Times New Roman" w:hAnsi="Times New Roman" w:cs="Times New Roman"/>
                <w:sz w:val="24"/>
                <w:szCs w:val="24"/>
              </w:rPr>
            </w:pPr>
          </w:p>
        </w:tc>
        <w:tc>
          <w:tcPr>
            <w:tcW w:w="2268" w:type="dxa"/>
          </w:tcPr>
          <w:p w14:paraId="14196E1D" w14:textId="77777777" w:rsidR="00974F43" w:rsidRPr="00B56CB6" w:rsidRDefault="00974F43" w:rsidP="00BE06F5">
            <w:pPr>
              <w:jc w:val="center"/>
              <w:rPr>
                <w:rFonts w:ascii="Times New Roman" w:hAnsi="Times New Roman" w:cs="Times New Roman"/>
                <w:sz w:val="24"/>
                <w:szCs w:val="24"/>
              </w:rPr>
            </w:pPr>
          </w:p>
        </w:tc>
      </w:tr>
      <w:tr w:rsidR="00AA47AF" w14:paraId="2867EB9F" w14:textId="77777777" w:rsidTr="009E18EB">
        <w:tc>
          <w:tcPr>
            <w:tcW w:w="284" w:type="dxa"/>
          </w:tcPr>
          <w:p w14:paraId="18481DDC" w14:textId="77777777" w:rsidR="00974F43" w:rsidRPr="00B56CB6" w:rsidRDefault="00974F43" w:rsidP="00BE06F5">
            <w:pPr>
              <w:rPr>
                <w:rFonts w:ascii="Times New Roman" w:hAnsi="Times New Roman" w:cs="Times New Roman"/>
                <w:sz w:val="24"/>
                <w:szCs w:val="24"/>
              </w:rPr>
            </w:pPr>
          </w:p>
        </w:tc>
        <w:tc>
          <w:tcPr>
            <w:tcW w:w="4106" w:type="dxa"/>
          </w:tcPr>
          <w:p w14:paraId="21AE3D77" w14:textId="77777777" w:rsidR="00974F43" w:rsidRPr="00F42F30" w:rsidRDefault="00DF7D72" w:rsidP="00BE06F5">
            <w:pPr>
              <w:jc w:val="center"/>
              <w:rPr>
                <w:rFonts w:ascii="Times New Roman" w:eastAsia="Calibri" w:hAnsi="Times New Roman" w:cs="Times New Roman"/>
                <w:b/>
                <w:i/>
                <w:sz w:val="24"/>
                <w:szCs w:val="24"/>
                <w:lang w:val="en-US"/>
              </w:rPr>
            </w:pPr>
            <w:r w:rsidRPr="00F42F30">
              <w:rPr>
                <w:rFonts w:ascii="Times New Roman" w:eastAsia="Calibri" w:hAnsi="Times New Roman" w:cs="Times New Roman"/>
                <w:b/>
                <w:i/>
                <w:sz w:val="24"/>
                <w:szCs w:val="24"/>
                <w:lang w:val="en-US"/>
              </w:rPr>
              <w:t>Regime-Dependent Regressor:</w:t>
            </w:r>
          </w:p>
          <w:p w14:paraId="3478CF14" w14:textId="77777777" w:rsidR="00974F43" w:rsidRPr="00B56CB6" w:rsidRDefault="00974F43" w:rsidP="00BE06F5">
            <w:pPr>
              <w:jc w:val="center"/>
              <w:rPr>
                <w:rFonts w:ascii="Times New Roman" w:eastAsia="Calibri" w:hAnsi="Times New Roman" w:cs="Times New Roman"/>
                <w:sz w:val="6"/>
                <w:szCs w:val="24"/>
                <w:lang w:val="en-US"/>
              </w:rPr>
            </w:pPr>
          </w:p>
        </w:tc>
        <w:tc>
          <w:tcPr>
            <w:tcW w:w="2126" w:type="dxa"/>
          </w:tcPr>
          <w:p w14:paraId="19AD0BBC" w14:textId="77777777" w:rsidR="00974F43" w:rsidRPr="00B56CB6" w:rsidRDefault="00974F43" w:rsidP="00BE06F5">
            <w:pPr>
              <w:jc w:val="center"/>
              <w:rPr>
                <w:rFonts w:ascii="Times New Roman" w:hAnsi="Times New Roman" w:cs="Times New Roman"/>
                <w:sz w:val="24"/>
                <w:szCs w:val="24"/>
              </w:rPr>
            </w:pPr>
          </w:p>
        </w:tc>
        <w:tc>
          <w:tcPr>
            <w:tcW w:w="2268" w:type="dxa"/>
          </w:tcPr>
          <w:p w14:paraId="1EA7DA21" w14:textId="77777777" w:rsidR="00974F43" w:rsidRPr="00B56CB6" w:rsidRDefault="00974F43" w:rsidP="00BE06F5">
            <w:pPr>
              <w:jc w:val="center"/>
              <w:rPr>
                <w:rFonts w:ascii="Times New Roman" w:hAnsi="Times New Roman" w:cs="Times New Roman"/>
                <w:sz w:val="24"/>
                <w:szCs w:val="24"/>
              </w:rPr>
            </w:pPr>
          </w:p>
        </w:tc>
      </w:tr>
      <w:tr w:rsidR="00AA47AF" w14:paraId="45102001" w14:textId="77777777" w:rsidTr="009E18EB">
        <w:tc>
          <w:tcPr>
            <w:tcW w:w="284" w:type="dxa"/>
          </w:tcPr>
          <w:p w14:paraId="35C6FF1D" w14:textId="77777777" w:rsidR="00974F43" w:rsidRPr="00B56CB6" w:rsidRDefault="00974F43" w:rsidP="00BE06F5">
            <w:pPr>
              <w:rPr>
                <w:rFonts w:ascii="Times New Roman" w:hAnsi="Times New Roman" w:cs="Times New Roman"/>
                <w:sz w:val="24"/>
                <w:szCs w:val="24"/>
              </w:rPr>
            </w:pPr>
          </w:p>
        </w:tc>
        <w:tc>
          <w:tcPr>
            <w:tcW w:w="4106" w:type="dxa"/>
          </w:tcPr>
          <w:p w14:paraId="2E35D8E6" w14:textId="77777777" w:rsidR="00974F43" w:rsidRPr="00B56CB6" w:rsidRDefault="00DF7D72" w:rsidP="00BE06F5">
            <w:pPr>
              <w:jc w:val="center"/>
              <w:rPr>
                <w:rFonts w:ascii="Times New Roman" w:hAnsi="Times New Roman" w:cs="Times New Roman"/>
                <w:sz w:val="24"/>
                <w:szCs w:val="24"/>
                <w:lang w:val="en-US"/>
              </w:rPr>
            </w:pPr>
            <w:r>
              <w:rPr>
                <w:rFonts w:ascii="Times New Roman" w:hAnsi="Times New Roman" w:cs="Times New Roman"/>
                <w:sz w:val="24"/>
                <w:szCs w:val="24"/>
                <w:lang w:val="en-US"/>
              </w:rPr>
              <w:t>Low</w:t>
            </w:r>
            <w:r w:rsidR="00AA79FD">
              <w:rPr>
                <w:rFonts w:ascii="Times New Roman" w:hAnsi="Times New Roman" w:cs="Times New Roman"/>
                <w:sz w:val="24"/>
                <w:szCs w:val="24"/>
                <w:lang w:val="en-US"/>
              </w:rPr>
              <w:t>er</w:t>
            </w:r>
            <w:r>
              <w:rPr>
                <w:rFonts w:ascii="Times New Roman" w:hAnsi="Times New Roman" w:cs="Times New Roman"/>
                <w:sz w:val="24"/>
                <w:szCs w:val="24"/>
                <w:lang w:val="en-US"/>
              </w:rPr>
              <w:t xml:space="preserve"> lnETAX</w:t>
            </w:r>
            <w:r w:rsidRPr="00B56CB6">
              <w:rPr>
                <w:rFonts w:ascii="Times New Roman" w:hAnsi="Times New Roman" w:cs="Times New Roman"/>
                <w:sz w:val="24"/>
                <w:szCs w:val="24"/>
                <w:lang w:val="en-US"/>
              </w:rPr>
              <w:t xml:space="preserve"> regime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t>
                  </m:r>
                  <m:acc>
                    <m:accPr>
                      <m:ctrlPr>
                        <w:rPr>
                          <w:rFonts w:ascii="Cambria Math" w:hAnsi="Cambria Math" w:cs="Times New Roman"/>
                          <w:i/>
                          <w:sz w:val="24"/>
                          <w:szCs w:val="24"/>
                          <w:lang w:val="en-US"/>
                        </w:rPr>
                      </m:ctrlPr>
                    </m:accPr>
                    <m:e>
                      <m:r>
                        <w:rPr>
                          <w:rFonts w:ascii="Cambria Math" w:hAnsi="Cambria Math" w:cs="Times New Roman"/>
                          <w:sz w:val="24"/>
                          <w:szCs w:val="24"/>
                          <w:lang w:val="en-US"/>
                        </w:rPr>
                        <m:t>β</m:t>
                      </m:r>
                    </m:e>
                  </m:acc>
                </m:e>
                <m:sub>
                  <m:r>
                    <w:rPr>
                      <w:rFonts w:ascii="Cambria Math" w:hAnsi="Cambria Math" w:cs="Times New Roman"/>
                      <w:sz w:val="24"/>
                      <w:szCs w:val="24"/>
                      <w:lang w:val="en-US"/>
                    </w:rPr>
                    <m:t>1</m:t>
                  </m:r>
                </m:sub>
              </m:sSub>
              <m:r>
                <w:rPr>
                  <w:rFonts w:ascii="Cambria Math" w:hAnsi="Cambria Math" w:cs="Times New Roman"/>
                  <w:sz w:val="24"/>
                  <w:szCs w:val="24"/>
                  <w:lang w:val="en-US"/>
                </w:rPr>
                <m:t>)</m:t>
              </m:r>
            </m:oMath>
          </w:p>
        </w:tc>
        <w:tc>
          <w:tcPr>
            <w:tcW w:w="2126" w:type="dxa"/>
          </w:tcPr>
          <w:p w14:paraId="62CEAF77" w14:textId="77777777" w:rsidR="00974F43" w:rsidRPr="00B56CB6" w:rsidRDefault="00DF7D72" w:rsidP="00BE06F5">
            <w:pPr>
              <w:jc w:val="center"/>
              <w:rPr>
                <w:rFonts w:ascii="Times New Roman" w:hAnsi="Times New Roman" w:cs="Times New Roman"/>
                <w:sz w:val="24"/>
                <w:szCs w:val="24"/>
              </w:rPr>
            </w:pPr>
            <w:r>
              <w:rPr>
                <w:rFonts w:ascii="Times New Roman" w:hAnsi="Times New Roman" w:cs="Times New Roman"/>
                <w:sz w:val="24"/>
                <w:szCs w:val="24"/>
              </w:rPr>
              <w:t>-0.0812</w:t>
            </w:r>
            <w:r w:rsidRPr="00B56CB6">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p>
        </w:tc>
        <w:tc>
          <w:tcPr>
            <w:tcW w:w="2268" w:type="dxa"/>
          </w:tcPr>
          <w:p w14:paraId="2E2E661D" w14:textId="77777777" w:rsidR="00974F43" w:rsidRPr="00B56CB6" w:rsidRDefault="00DF7D72" w:rsidP="00BE06F5">
            <w:pPr>
              <w:jc w:val="center"/>
              <w:rPr>
                <w:rFonts w:ascii="Times New Roman" w:hAnsi="Times New Roman" w:cs="Times New Roman"/>
                <w:sz w:val="24"/>
                <w:szCs w:val="24"/>
              </w:rPr>
            </w:pPr>
            <w:r>
              <w:rPr>
                <w:rFonts w:ascii="Times New Roman" w:hAnsi="Times New Roman" w:cs="Times New Roman"/>
                <w:sz w:val="24"/>
                <w:szCs w:val="24"/>
              </w:rPr>
              <w:t>0.0064</w:t>
            </w:r>
          </w:p>
        </w:tc>
      </w:tr>
      <w:tr w:rsidR="00AA47AF" w14:paraId="78307822" w14:textId="77777777" w:rsidTr="009E18EB">
        <w:tc>
          <w:tcPr>
            <w:tcW w:w="284" w:type="dxa"/>
          </w:tcPr>
          <w:p w14:paraId="16A8AC6B" w14:textId="77777777" w:rsidR="00974F43" w:rsidRPr="00B56CB6" w:rsidRDefault="00974F43" w:rsidP="00BE06F5">
            <w:pPr>
              <w:rPr>
                <w:rFonts w:ascii="Times New Roman" w:hAnsi="Times New Roman" w:cs="Times New Roman"/>
                <w:sz w:val="24"/>
                <w:szCs w:val="24"/>
              </w:rPr>
            </w:pPr>
          </w:p>
        </w:tc>
        <w:tc>
          <w:tcPr>
            <w:tcW w:w="4106" w:type="dxa"/>
          </w:tcPr>
          <w:p w14:paraId="5FEB477B" w14:textId="77777777" w:rsidR="00974F43" w:rsidRDefault="00DF7D72" w:rsidP="00BE06F5">
            <w:pPr>
              <w:jc w:val="center"/>
              <w:rPr>
                <w:rFonts w:ascii="Times New Roman" w:hAnsi="Times New Roman" w:cs="Times New Roman"/>
                <w:sz w:val="24"/>
                <w:szCs w:val="24"/>
                <w:lang w:val="en-US"/>
              </w:rPr>
            </w:pPr>
            <w:r>
              <w:rPr>
                <w:rFonts w:ascii="Times New Roman" w:hAnsi="Times New Roman" w:cs="Times New Roman"/>
                <w:sz w:val="24"/>
                <w:szCs w:val="24"/>
                <w:lang w:val="en-US"/>
              </w:rPr>
              <w:t>Higher lnETAX</w:t>
            </w:r>
            <w:r w:rsidRPr="00B56CB6">
              <w:rPr>
                <w:rFonts w:ascii="Times New Roman" w:hAnsi="Times New Roman" w:cs="Times New Roman"/>
                <w:sz w:val="24"/>
                <w:szCs w:val="24"/>
                <w:lang w:val="en-US"/>
              </w:rPr>
              <w:t xml:space="preserve"> regime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t>
                  </m:r>
                  <m:acc>
                    <m:accPr>
                      <m:ctrlPr>
                        <w:rPr>
                          <w:rFonts w:ascii="Cambria Math" w:hAnsi="Cambria Math" w:cs="Times New Roman"/>
                          <w:i/>
                          <w:sz w:val="24"/>
                          <w:szCs w:val="24"/>
                          <w:lang w:val="en-US"/>
                        </w:rPr>
                      </m:ctrlPr>
                    </m:accPr>
                    <m:e>
                      <m:r>
                        <w:rPr>
                          <w:rFonts w:ascii="Cambria Math" w:hAnsi="Cambria Math" w:cs="Times New Roman"/>
                          <w:sz w:val="24"/>
                          <w:szCs w:val="24"/>
                          <w:lang w:val="en-US"/>
                        </w:rPr>
                        <m:t>β</m:t>
                      </m:r>
                    </m:e>
                  </m:acc>
                </m:e>
                <m:sub>
                  <m:r>
                    <w:rPr>
                      <w:rFonts w:ascii="Cambria Math" w:hAnsi="Cambria Math" w:cs="Times New Roman"/>
                      <w:sz w:val="24"/>
                      <w:szCs w:val="24"/>
                      <w:lang w:val="en-US"/>
                    </w:rPr>
                    <m:t>2</m:t>
                  </m:r>
                </m:sub>
              </m:sSub>
              <m:r>
                <w:rPr>
                  <w:rFonts w:ascii="Cambria Math" w:hAnsi="Cambria Math" w:cs="Times New Roman"/>
                  <w:sz w:val="24"/>
                  <w:szCs w:val="24"/>
                  <w:lang w:val="en-US"/>
                </w:rPr>
                <m:t>)</m:t>
              </m:r>
            </m:oMath>
          </w:p>
          <w:p w14:paraId="602225E1" w14:textId="77777777" w:rsidR="00974F43" w:rsidRDefault="00974F43" w:rsidP="00BE06F5">
            <w:pPr>
              <w:jc w:val="center"/>
              <w:rPr>
                <w:rFonts w:ascii="Times New Roman" w:hAnsi="Times New Roman" w:cs="Times New Roman"/>
                <w:sz w:val="24"/>
                <w:szCs w:val="24"/>
                <w:lang w:val="en-US"/>
              </w:rPr>
            </w:pPr>
          </w:p>
          <w:p w14:paraId="19140DAB" w14:textId="77777777" w:rsidR="00974F43" w:rsidRPr="00B6487B" w:rsidRDefault="00DF7D72" w:rsidP="00BE06F5">
            <w:pPr>
              <w:jc w:val="center"/>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Regime-Ind</w:t>
            </w:r>
            <w:r w:rsidRPr="00B6487B">
              <w:rPr>
                <w:rFonts w:ascii="Times New Roman" w:eastAsia="Calibri" w:hAnsi="Times New Roman" w:cs="Times New Roman"/>
                <w:b/>
                <w:i/>
                <w:sz w:val="24"/>
                <w:szCs w:val="24"/>
                <w:lang w:val="en-US"/>
              </w:rPr>
              <w:t>ependent Regressors:</w:t>
            </w:r>
          </w:p>
          <w:p w14:paraId="315D264C" w14:textId="77777777" w:rsidR="00974F43" w:rsidRPr="00B56CB6" w:rsidRDefault="00974F43" w:rsidP="00BE06F5">
            <w:pPr>
              <w:jc w:val="center"/>
              <w:rPr>
                <w:rFonts w:ascii="Times New Roman" w:eastAsia="Calibri" w:hAnsi="Times New Roman" w:cs="Times New Roman"/>
                <w:sz w:val="24"/>
                <w:szCs w:val="24"/>
                <w:lang w:val="en-US"/>
              </w:rPr>
            </w:pPr>
          </w:p>
        </w:tc>
        <w:tc>
          <w:tcPr>
            <w:tcW w:w="2126" w:type="dxa"/>
          </w:tcPr>
          <w:p w14:paraId="5D930EE5" w14:textId="77777777" w:rsidR="00974F43" w:rsidRPr="00B56CB6" w:rsidRDefault="00DF7D72" w:rsidP="00BE06F5">
            <w:pPr>
              <w:jc w:val="center"/>
              <w:rPr>
                <w:rFonts w:ascii="Times New Roman" w:hAnsi="Times New Roman" w:cs="Times New Roman"/>
                <w:sz w:val="24"/>
                <w:szCs w:val="24"/>
              </w:rPr>
            </w:pPr>
            <w:r>
              <w:rPr>
                <w:rFonts w:ascii="Times New Roman" w:hAnsi="Times New Roman" w:cs="Times New Roman"/>
                <w:sz w:val="24"/>
                <w:szCs w:val="24"/>
              </w:rPr>
              <w:t>0.0495</w:t>
            </w:r>
            <w:r w:rsidRPr="00F42F30">
              <w:rPr>
                <w:rFonts w:ascii="Times New Roman" w:hAnsi="Times New Roman" w:cs="Times New Roman"/>
                <w:sz w:val="24"/>
                <w:szCs w:val="24"/>
                <w:vertAlign w:val="superscript"/>
              </w:rPr>
              <w:t>**</w:t>
            </w:r>
            <w:r w:rsidRPr="00B56CB6">
              <w:rPr>
                <w:rFonts w:ascii="Times New Roman" w:hAnsi="Times New Roman" w:cs="Times New Roman"/>
                <w:sz w:val="24"/>
                <w:szCs w:val="24"/>
                <w:vertAlign w:val="superscript"/>
              </w:rPr>
              <w:t>*</w:t>
            </w:r>
          </w:p>
        </w:tc>
        <w:tc>
          <w:tcPr>
            <w:tcW w:w="2268" w:type="dxa"/>
          </w:tcPr>
          <w:p w14:paraId="6DAF467F" w14:textId="77777777" w:rsidR="00974F43" w:rsidRPr="00B56CB6" w:rsidRDefault="00DF7D72" w:rsidP="00BE06F5">
            <w:pPr>
              <w:jc w:val="center"/>
              <w:rPr>
                <w:rFonts w:ascii="Times New Roman" w:hAnsi="Times New Roman" w:cs="Times New Roman"/>
                <w:sz w:val="24"/>
                <w:szCs w:val="24"/>
              </w:rPr>
            </w:pPr>
            <w:r>
              <w:rPr>
                <w:rFonts w:ascii="Times New Roman" w:hAnsi="Times New Roman" w:cs="Times New Roman"/>
                <w:sz w:val="24"/>
                <w:szCs w:val="24"/>
              </w:rPr>
              <w:t>0.0047</w:t>
            </w:r>
          </w:p>
        </w:tc>
      </w:tr>
      <w:tr w:rsidR="00AA47AF" w14:paraId="010D3EC5" w14:textId="77777777" w:rsidTr="009E18EB">
        <w:tc>
          <w:tcPr>
            <w:tcW w:w="284" w:type="dxa"/>
          </w:tcPr>
          <w:p w14:paraId="767DB63F" w14:textId="77777777" w:rsidR="00974F43" w:rsidRPr="00B56CB6" w:rsidRDefault="00974F43" w:rsidP="00BE06F5">
            <w:pPr>
              <w:rPr>
                <w:rFonts w:ascii="Times New Roman" w:hAnsi="Times New Roman" w:cs="Times New Roman"/>
                <w:sz w:val="24"/>
                <w:szCs w:val="24"/>
              </w:rPr>
            </w:pPr>
          </w:p>
        </w:tc>
        <w:tc>
          <w:tcPr>
            <w:tcW w:w="4106" w:type="dxa"/>
          </w:tcPr>
          <w:p w14:paraId="4FC57F81" w14:textId="77777777" w:rsidR="00974F43" w:rsidRPr="00B56CB6" w:rsidRDefault="00DF7D72" w:rsidP="00BE06F5">
            <w:pPr>
              <w:jc w:val="center"/>
              <w:rPr>
                <w:rFonts w:ascii="Times New Roman" w:eastAsia="Calibri" w:hAnsi="Times New Roman" w:cs="Times New Roman"/>
                <w:sz w:val="24"/>
                <w:szCs w:val="24"/>
                <w:lang w:val="en-US"/>
              </w:rPr>
            </w:pPr>
            <m:oMathPara>
              <m:oMath>
                <m:r>
                  <w:rPr>
                    <w:rFonts w:ascii="Cambria Math" w:hAnsi="Cambria Math" w:cs="Times New Roman"/>
                    <w:sz w:val="24"/>
                    <w:szCs w:val="24"/>
                  </w:rPr>
                  <m:t>lnTRM</m:t>
                </m:r>
              </m:oMath>
            </m:oMathPara>
          </w:p>
        </w:tc>
        <w:tc>
          <w:tcPr>
            <w:tcW w:w="2126" w:type="dxa"/>
          </w:tcPr>
          <w:p w14:paraId="66B95200" w14:textId="77777777" w:rsidR="00974F43" w:rsidRPr="00B56CB6" w:rsidRDefault="00DF7D72" w:rsidP="00BE06F5">
            <w:pPr>
              <w:jc w:val="center"/>
              <w:rPr>
                <w:rFonts w:ascii="Times New Roman" w:hAnsi="Times New Roman" w:cs="Times New Roman"/>
                <w:sz w:val="24"/>
                <w:szCs w:val="24"/>
              </w:rPr>
            </w:pPr>
            <w:r>
              <w:rPr>
                <w:rFonts w:ascii="Times New Roman" w:hAnsi="Times New Roman" w:cs="Times New Roman"/>
                <w:sz w:val="24"/>
                <w:szCs w:val="24"/>
              </w:rPr>
              <w:t>-0.0363</w:t>
            </w:r>
            <w:r>
              <w:rPr>
                <w:rFonts w:ascii="Times New Roman" w:hAnsi="Times New Roman" w:cs="Times New Roman"/>
                <w:sz w:val="24"/>
                <w:szCs w:val="24"/>
                <w:vertAlign w:val="superscript"/>
              </w:rPr>
              <w:t>**</w:t>
            </w:r>
          </w:p>
        </w:tc>
        <w:tc>
          <w:tcPr>
            <w:tcW w:w="2268" w:type="dxa"/>
          </w:tcPr>
          <w:p w14:paraId="6E8BB78B" w14:textId="77777777" w:rsidR="00974F43" w:rsidRPr="00B56CB6" w:rsidRDefault="00DF7D72" w:rsidP="00BE06F5">
            <w:pPr>
              <w:jc w:val="center"/>
              <w:rPr>
                <w:rFonts w:ascii="Times New Roman" w:hAnsi="Times New Roman" w:cs="Times New Roman"/>
                <w:sz w:val="24"/>
                <w:szCs w:val="24"/>
              </w:rPr>
            </w:pPr>
            <w:r>
              <w:rPr>
                <w:rFonts w:ascii="Times New Roman" w:hAnsi="Times New Roman" w:cs="Times New Roman"/>
                <w:sz w:val="24"/>
                <w:szCs w:val="24"/>
              </w:rPr>
              <w:t>0.0134</w:t>
            </w:r>
          </w:p>
        </w:tc>
      </w:tr>
      <w:tr w:rsidR="00AA47AF" w14:paraId="2E95AB65" w14:textId="77777777" w:rsidTr="009E18EB">
        <w:tc>
          <w:tcPr>
            <w:tcW w:w="284" w:type="dxa"/>
          </w:tcPr>
          <w:p w14:paraId="742DB500" w14:textId="77777777" w:rsidR="00974F43" w:rsidRPr="00B56CB6" w:rsidRDefault="00974F43" w:rsidP="00BE06F5">
            <w:pPr>
              <w:rPr>
                <w:rFonts w:ascii="Times New Roman" w:hAnsi="Times New Roman" w:cs="Times New Roman"/>
                <w:sz w:val="24"/>
                <w:szCs w:val="24"/>
              </w:rPr>
            </w:pPr>
          </w:p>
        </w:tc>
        <w:tc>
          <w:tcPr>
            <w:tcW w:w="4106" w:type="dxa"/>
            <w:vAlign w:val="bottom"/>
          </w:tcPr>
          <w:p w14:paraId="1885AC00" w14:textId="77777777" w:rsidR="00974F43" w:rsidRPr="00B56CB6" w:rsidRDefault="00DF7D72" w:rsidP="00BE06F5">
            <w:pPr>
              <w:autoSpaceDE w:val="0"/>
              <w:autoSpaceDN w:val="0"/>
              <w:adjustRightInd w:val="0"/>
              <w:jc w:val="center"/>
              <w:rPr>
                <w:rFonts w:ascii="Times New Roman" w:hAnsi="Times New Roman" w:cs="Times New Roman"/>
                <w:sz w:val="24"/>
                <w:szCs w:val="24"/>
              </w:rPr>
            </w:pPr>
            <m:oMathPara>
              <m:oMath>
                <m:r>
                  <w:rPr>
                    <w:rFonts w:ascii="Cambria Math" w:hAnsi="Cambria Math" w:cs="Times New Roman"/>
                    <w:sz w:val="24"/>
                    <w:szCs w:val="24"/>
                  </w:rPr>
                  <m:t>lnGDP</m:t>
                </m:r>
              </m:oMath>
            </m:oMathPara>
          </w:p>
        </w:tc>
        <w:tc>
          <w:tcPr>
            <w:tcW w:w="2126" w:type="dxa"/>
            <w:vAlign w:val="bottom"/>
          </w:tcPr>
          <w:p w14:paraId="5B2449B3" w14:textId="77777777" w:rsidR="00974F43" w:rsidRPr="00B56CB6" w:rsidRDefault="00DF7D72" w:rsidP="00BE06F5">
            <w:pPr>
              <w:autoSpaceDE w:val="0"/>
              <w:autoSpaceDN w:val="0"/>
              <w:adjustRightInd w:val="0"/>
              <w:ind w:right="10"/>
              <w:jc w:val="center"/>
              <w:rPr>
                <w:rFonts w:ascii="Times New Roman" w:hAnsi="Times New Roman" w:cs="Times New Roman"/>
                <w:sz w:val="24"/>
                <w:szCs w:val="24"/>
              </w:rPr>
            </w:pPr>
            <w:r>
              <w:rPr>
                <w:rFonts w:ascii="Times New Roman" w:hAnsi="Times New Roman" w:cs="Times New Roman"/>
                <w:sz w:val="24"/>
                <w:szCs w:val="24"/>
              </w:rPr>
              <w:t>-0.2403</w:t>
            </w:r>
            <w:r w:rsidRPr="00B56CB6">
              <w:rPr>
                <w:rFonts w:ascii="Times New Roman" w:hAnsi="Times New Roman" w:cs="Times New Roman"/>
                <w:sz w:val="24"/>
                <w:szCs w:val="24"/>
                <w:vertAlign w:val="superscript"/>
              </w:rPr>
              <w:t>***</w:t>
            </w:r>
          </w:p>
        </w:tc>
        <w:tc>
          <w:tcPr>
            <w:tcW w:w="2268" w:type="dxa"/>
            <w:vAlign w:val="bottom"/>
          </w:tcPr>
          <w:p w14:paraId="1A2C3FBB" w14:textId="77777777" w:rsidR="00974F43" w:rsidRPr="00B56CB6" w:rsidRDefault="00DF7D72" w:rsidP="00BE06F5">
            <w:pPr>
              <w:autoSpaceDE w:val="0"/>
              <w:autoSpaceDN w:val="0"/>
              <w:adjustRightInd w:val="0"/>
              <w:ind w:right="10"/>
              <w:jc w:val="center"/>
              <w:rPr>
                <w:rFonts w:ascii="Times New Roman" w:hAnsi="Times New Roman" w:cs="Times New Roman"/>
                <w:sz w:val="24"/>
                <w:szCs w:val="24"/>
              </w:rPr>
            </w:pPr>
            <w:r>
              <w:rPr>
                <w:rFonts w:ascii="Times New Roman" w:hAnsi="Times New Roman" w:cs="Times New Roman"/>
                <w:sz w:val="24"/>
                <w:szCs w:val="24"/>
              </w:rPr>
              <w:t>0.0343</w:t>
            </w:r>
          </w:p>
        </w:tc>
      </w:tr>
      <w:tr w:rsidR="00AA47AF" w14:paraId="64FD237F" w14:textId="77777777" w:rsidTr="009E18EB">
        <w:tc>
          <w:tcPr>
            <w:tcW w:w="284" w:type="dxa"/>
          </w:tcPr>
          <w:p w14:paraId="3EDD1FF4" w14:textId="77777777" w:rsidR="00974F43" w:rsidRPr="00B56CB6" w:rsidRDefault="00974F43" w:rsidP="00BE06F5">
            <w:pPr>
              <w:rPr>
                <w:rFonts w:ascii="Times New Roman" w:hAnsi="Times New Roman" w:cs="Times New Roman"/>
                <w:sz w:val="24"/>
                <w:szCs w:val="24"/>
              </w:rPr>
            </w:pPr>
          </w:p>
        </w:tc>
        <w:tc>
          <w:tcPr>
            <w:tcW w:w="4106" w:type="dxa"/>
            <w:vAlign w:val="bottom"/>
          </w:tcPr>
          <w:p w14:paraId="441F9A73" w14:textId="77777777" w:rsidR="00974F43" w:rsidRPr="00B56CB6" w:rsidRDefault="00DF7D72" w:rsidP="00BE06F5">
            <w:pPr>
              <w:autoSpaceDE w:val="0"/>
              <w:autoSpaceDN w:val="0"/>
              <w:adjustRightInd w:val="0"/>
              <w:jc w:val="center"/>
              <w:rPr>
                <w:rFonts w:ascii="Times New Roman" w:hAnsi="Times New Roman" w:cs="Times New Roman"/>
                <w:sz w:val="24"/>
                <w:szCs w:val="24"/>
              </w:rPr>
            </w:pPr>
            <m:oMathPara>
              <m:oMath>
                <m:r>
                  <w:rPr>
                    <w:rFonts w:ascii="Cambria Math" w:hAnsi="Cambria Math" w:cs="Times New Roman"/>
                    <w:sz w:val="24"/>
                    <w:szCs w:val="24"/>
                  </w:rPr>
                  <m:t>lnR&amp;D</m:t>
                </m:r>
              </m:oMath>
            </m:oMathPara>
          </w:p>
        </w:tc>
        <w:tc>
          <w:tcPr>
            <w:tcW w:w="2126" w:type="dxa"/>
            <w:vAlign w:val="bottom"/>
          </w:tcPr>
          <w:p w14:paraId="0B74FA35" w14:textId="77777777" w:rsidR="00974F43" w:rsidRPr="00B56CB6" w:rsidRDefault="00DF7D72" w:rsidP="00BE06F5">
            <w:pPr>
              <w:autoSpaceDE w:val="0"/>
              <w:autoSpaceDN w:val="0"/>
              <w:adjustRightInd w:val="0"/>
              <w:ind w:right="10"/>
              <w:jc w:val="center"/>
              <w:rPr>
                <w:rFonts w:ascii="Times New Roman" w:hAnsi="Times New Roman" w:cs="Times New Roman"/>
                <w:sz w:val="24"/>
                <w:szCs w:val="24"/>
              </w:rPr>
            </w:pPr>
            <w:r>
              <w:rPr>
                <w:rFonts w:ascii="Times New Roman" w:hAnsi="Times New Roman" w:cs="Times New Roman"/>
                <w:sz w:val="24"/>
                <w:szCs w:val="24"/>
              </w:rPr>
              <w:t>0.0108</w:t>
            </w:r>
          </w:p>
        </w:tc>
        <w:tc>
          <w:tcPr>
            <w:tcW w:w="2268" w:type="dxa"/>
            <w:vAlign w:val="bottom"/>
          </w:tcPr>
          <w:p w14:paraId="21AF8139" w14:textId="77777777" w:rsidR="00974F43" w:rsidRPr="00B56CB6" w:rsidRDefault="00DF7D72" w:rsidP="00BE06F5">
            <w:pPr>
              <w:autoSpaceDE w:val="0"/>
              <w:autoSpaceDN w:val="0"/>
              <w:adjustRightInd w:val="0"/>
              <w:ind w:right="10"/>
              <w:jc w:val="center"/>
              <w:rPr>
                <w:rFonts w:ascii="Times New Roman" w:hAnsi="Times New Roman" w:cs="Times New Roman"/>
                <w:sz w:val="24"/>
                <w:szCs w:val="24"/>
              </w:rPr>
            </w:pPr>
            <w:r>
              <w:rPr>
                <w:rFonts w:ascii="Times New Roman" w:hAnsi="Times New Roman" w:cs="Times New Roman"/>
                <w:sz w:val="24"/>
                <w:szCs w:val="24"/>
              </w:rPr>
              <w:t>0.0116</w:t>
            </w:r>
          </w:p>
        </w:tc>
      </w:tr>
      <w:tr w:rsidR="00AA47AF" w14:paraId="08EDB1A3" w14:textId="77777777" w:rsidTr="009E18EB">
        <w:tc>
          <w:tcPr>
            <w:tcW w:w="284" w:type="dxa"/>
          </w:tcPr>
          <w:p w14:paraId="5E47BD64" w14:textId="77777777" w:rsidR="00974F43" w:rsidRPr="00B56CB6" w:rsidRDefault="00974F43" w:rsidP="00BE06F5">
            <w:pPr>
              <w:rPr>
                <w:rFonts w:ascii="Times New Roman" w:hAnsi="Times New Roman" w:cs="Times New Roman"/>
                <w:sz w:val="24"/>
                <w:szCs w:val="24"/>
              </w:rPr>
            </w:pPr>
          </w:p>
        </w:tc>
        <w:tc>
          <w:tcPr>
            <w:tcW w:w="4106" w:type="dxa"/>
            <w:vAlign w:val="bottom"/>
          </w:tcPr>
          <w:p w14:paraId="013981A5" w14:textId="77777777" w:rsidR="00974F43" w:rsidRPr="00B56CB6" w:rsidRDefault="00DF7D72" w:rsidP="00BE06F5">
            <w:pPr>
              <w:autoSpaceDE w:val="0"/>
              <w:autoSpaceDN w:val="0"/>
              <w:adjustRightInd w:val="0"/>
              <w:jc w:val="center"/>
              <w:rPr>
                <w:rFonts w:ascii="Times New Roman" w:hAnsi="Times New Roman" w:cs="Times New Roman"/>
                <w:sz w:val="24"/>
                <w:szCs w:val="24"/>
              </w:rPr>
            </w:pPr>
            <m:oMathPara>
              <m:oMath>
                <m:r>
                  <w:rPr>
                    <w:rFonts w:ascii="Cambria Math" w:hAnsi="Cambria Math" w:cs="Times New Roman"/>
                    <w:sz w:val="24"/>
                    <w:szCs w:val="24"/>
                  </w:rPr>
                  <m:t>lnREN</m:t>
                </m:r>
              </m:oMath>
            </m:oMathPara>
          </w:p>
        </w:tc>
        <w:tc>
          <w:tcPr>
            <w:tcW w:w="2126" w:type="dxa"/>
            <w:vAlign w:val="bottom"/>
          </w:tcPr>
          <w:p w14:paraId="162F4207" w14:textId="77777777" w:rsidR="00974F43" w:rsidRPr="00B56CB6" w:rsidRDefault="00DF7D72" w:rsidP="00BE06F5">
            <w:pPr>
              <w:autoSpaceDE w:val="0"/>
              <w:autoSpaceDN w:val="0"/>
              <w:adjustRightInd w:val="0"/>
              <w:ind w:right="10"/>
              <w:jc w:val="center"/>
              <w:rPr>
                <w:rFonts w:ascii="Times New Roman" w:hAnsi="Times New Roman" w:cs="Times New Roman"/>
                <w:sz w:val="24"/>
                <w:szCs w:val="24"/>
              </w:rPr>
            </w:pPr>
            <w:r>
              <w:rPr>
                <w:rFonts w:ascii="Times New Roman" w:hAnsi="Times New Roman" w:cs="Times New Roman"/>
                <w:sz w:val="24"/>
                <w:szCs w:val="24"/>
              </w:rPr>
              <w:t>0.0231</w:t>
            </w:r>
            <w:r w:rsidRPr="00F42F30">
              <w:rPr>
                <w:rFonts w:ascii="Times New Roman" w:hAnsi="Times New Roman" w:cs="Times New Roman"/>
                <w:sz w:val="24"/>
                <w:szCs w:val="24"/>
                <w:vertAlign w:val="superscript"/>
              </w:rPr>
              <w:t>***</w:t>
            </w:r>
          </w:p>
        </w:tc>
        <w:tc>
          <w:tcPr>
            <w:tcW w:w="2268" w:type="dxa"/>
            <w:vAlign w:val="bottom"/>
          </w:tcPr>
          <w:p w14:paraId="2E04CB08" w14:textId="77777777" w:rsidR="00974F43" w:rsidRPr="00B56CB6" w:rsidRDefault="00DF7D72" w:rsidP="00BE06F5">
            <w:pPr>
              <w:autoSpaceDE w:val="0"/>
              <w:autoSpaceDN w:val="0"/>
              <w:adjustRightInd w:val="0"/>
              <w:ind w:right="10"/>
              <w:jc w:val="center"/>
              <w:rPr>
                <w:rFonts w:ascii="Times New Roman" w:hAnsi="Times New Roman" w:cs="Times New Roman"/>
                <w:sz w:val="24"/>
                <w:szCs w:val="24"/>
              </w:rPr>
            </w:pPr>
            <w:r>
              <w:rPr>
                <w:rFonts w:ascii="Times New Roman" w:hAnsi="Times New Roman" w:cs="Times New Roman"/>
                <w:sz w:val="24"/>
                <w:szCs w:val="24"/>
              </w:rPr>
              <w:t>0.0008</w:t>
            </w:r>
          </w:p>
        </w:tc>
      </w:tr>
      <w:tr w:rsidR="00AA47AF" w14:paraId="079B61F2" w14:textId="77777777" w:rsidTr="009E18EB">
        <w:trPr>
          <w:gridAfter w:val="3"/>
          <w:wAfter w:w="8500" w:type="dxa"/>
        </w:trPr>
        <w:tc>
          <w:tcPr>
            <w:tcW w:w="284" w:type="dxa"/>
          </w:tcPr>
          <w:p w14:paraId="21C46D21" w14:textId="77777777" w:rsidR="00974F43" w:rsidRPr="00B56CB6" w:rsidRDefault="00974F43" w:rsidP="00BE06F5">
            <w:pPr>
              <w:rPr>
                <w:rFonts w:ascii="Times New Roman" w:hAnsi="Times New Roman" w:cs="Times New Roman"/>
                <w:sz w:val="24"/>
                <w:szCs w:val="24"/>
              </w:rPr>
            </w:pPr>
          </w:p>
        </w:tc>
      </w:tr>
      <w:tr w:rsidR="00AA47AF" w14:paraId="24648C36" w14:textId="77777777" w:rsidTr="009E18EB">
        <w:tc>
          <w:tcPr>
            <w:tcW w:w="284" w:type="dxa"/>
          </w:tcPr>
          <w:p w14:paraId="6F093FAA" w14:textId="77777777" w:rsidR="00974F43" w:rsidRPr="00B56CB6" w:rsidRDefault="00974F43" w:rsidP="00BE06F5">
            <w:pPr>
              <w:rPr>
                <w:rFonts w:ascii="Times New Roman" w:hAnsi="Times New Roman" w:cs="Times New Roman"/>
                <w:sz w:val="24"/>
                <w:szCs w:val="24"/>
              </w:rPr>
            </w:pPr>
          </w:p>
        </w:tc>
        <w:tc>
          <w:tcPr>
            <w:tcW w:w="4106" w:type="dxa"/>
            <w:vAlign w:val="bottom"/>
          </w:tcPr>
          <w:p w14:paraId="50DC4E89" w14:textId="77777777" w:rsidR="00974F43" w:rsidRPr="00B56CB6" w:rsidRDefault="00DF7D72" w:rsidP="00BE06F5">
            <w:pPr>
              <w:autoSpaceDE w:val="0"/>
              <w:autoSpaceDN w:val="0"/>
              <w:adjustRightInd w:val="0"/>
              <w:jc w:val="center"/>
              <w:rPr>
                <w:rFonts w:ascii="Times New Roman" w:hAnsi="Times New Roman" w:cs="Times New Roman"/>
                <w:sz w:val="24"/>
                <w:szCs w:val="24"/>
              </w:rPr>
            </w:pPr>
            <w:r w:rsidRPr="00B56CB6">
              <w:rPr>
                <w:rFonts w:ascii="Times New Roman" w:hAnsi="Times New Roman" w:cs="Times New Roman"/>
                <w:sz w:val="24"/>
                <w:szCs w:val="24"/>
              </w:rPr>
              <w:t>Constant</w:t>
            </w:r>
          </w:p>
        </w:tc>
        <w:tc>
          <w:tcPr>
            <w:tcW w:w="2126" w:type="dxa"/>
            <w:vAlign w:val="bottom"/>
          </w:tcPr>
          <w:p w14:paraId="2EBDC40C" w14:textId="77777777" w:rsidR="00974F43" w:rsidRPr="00B56CB6" w:rsidRDefault="00DF7D72" w:rsidP="00BE06F5">
            <w:pPr>
              <w:autoSpaceDE w:val="0"/>
              <w:autoSpaceDN w:val="0"/>
              <w:adjustRightInd w:val="0"/>
              <w:ind w:right="10"/>
              <w:jc w:val="center"/>
              <w:rPr>
                <w:rFonts w:ascii="Times New Roman" w:hAnsi="Times New Roman" w:cs="Times New Roman"/>
                <w:sz w:val="24"/>
                <w:szCs w:val="24"/>
              </w:rPr>
            </w:pPr>
            <w:r>
              <w:rPr>
                <w:rFonts w:ascii="Times New Roman" w:hAnsi="Times New Roman" w:cs="Times New Roman"/>
                <w:sz w:val="24"/>
                <w:szCs w:val="24"/>
              </w:rPr>
              <w:t>9.9569</w:t>
            </w:r>
            <w:r w:rsidRPr="00B56CB6">
              <w:rPr>
                <w:rFonts w:ascii="Times New Roman" w:hAnsi="Times New Roman" w:cs="Times New Roman"/>
                <w:sz w:val="24"/>
                <w:szCs w:val="24"/>
                <w:vertAlign w:val="superscript"/>
              </w:rPr>
              <w:t>***</w:t>
            </w:r>
          </w:p>
        </w:tc>
        <w:tc>
          <w:tcPr>
            <w:tcW w:w="2268" w:type="dxa"/>
            <w:vAlign w:val="bottom"/>
          </w:tcPr>
          <w:p w14:paraId="4116D7E0" w14:textId="77777777" w:rsidR="00974F43" w:rsidRPr="00B56CB6" w:rsidRDefault="00DF7D72" w:rsidP="00BE06F5">
            <w:pPr>
              <w:autoSpaceDE w:val="0"/>
              <w:autoSpaceDN w:val="0"/>
              <w:adjustRightInd w:val="0"/>
              <w:ind w:right="10"/>
              <w:jc w:val="center"/>
              <w:rPr>
                <w:rFonts w:ascii="Times New Roman" w:hAnsi="Times New Roman" w:cs="Times New Roman"/>
                <w:sz w:val="24"/>
                <w:szCs w:val="24"/>
              </w:rPr>
            </w:pPr>
            <w:r>
              <w:rPr>
                <w:rFonts w:ascii="Times New Roman" w:hAnsi="Times New Roman" w:cs="Times New Roman"/>
                <w:sz w:val="24"/>
                <w:szCs w:val="24"/>
              </w:rPr>
              <w:t>0.2656</w:t>
            </w:r>
          </w:p>
        </w:tc>
      </w:tr>
      <w:tr w:rsidR="00AA47AF" w14:paraId="31538270" w14:textId="77777777" w:rsidTr="009E18EB">
        <w:tc>
          <w:tcPr>
            <w:tcW w:w="284" w:type="dxa"/>
          </w:tcPr>
          <w:p w14:paraId="4063B34E" w14:textId="77777777" w:rsidR="00974F43" w:rsidRPr="00B56CB6" w:rsidRDefault="00974F43" w:rsidP="00BE06F5">
            <w:pPr>
              <w:rPr>
                <w:rFonts w:ascii="Times New Roman" w:hAnsi="Times New Roman" w:cs="Times New Roman"/>
                <w:sz w:val="24"/>
                <w:szCs w:val="24"/>
              </w:rPr>
            </w:pPr>
          </w:p>
        </w:tc>
        <w:tc>
          <w:tcPr>
            <w:tcW w:w="4106" w:type="dxa"/>
            <w:vAlign w:val="bottom"/>
          </w:tcPr>
          <w:p w14:paraId="4BE2A04F" w14:textId="77777777" w:rsidR="00974F43" w:rsidRPr="00B56CB6" w:rsidRDefault="00DF7D72" w:rsidP="00BE06F5">
            <w:pPr>
              <w:autoSpaceDE w:val="0"/>
              <w:autoSpaceDN w:val="0"/>
              <w:adjustRightInd w:val="0"/>
              <w:jc w:val="center"/>
              <w:rPr>
                <w:rFonts w:ascii="Times New Roman" w:hAnsi="Times New Roman" w:cs="Times New Roman"/>
                <w:sz w:val="24"/>
                <w:szCs w:val="24"/>
              </w:rPr>
            </w:pPr>
            <w:r w:rsidRPr="00B56CB6">
              <w:rPr>
                <w:rFonts w:ascii="Times New Roman" w:hAnsi="Times New Roman" w:cs="Times New Roman"/>
                <w:sz w:val="24"/>
                <w:szCs w:val="24"/>
              </w:rPr>
              <w:t>Number of Observations</w:t>
            </w:r>
          </w:p>
        </w:tc>
        <w:tc>
          <w:tcPr>
            <w:tcW w:w="2126" w:type="dxa"/>
            <w:vAlign w:val="bottom"/>
          </w:tcPr>
          <w:p w14:paraId="502CE2E5" w14:textId="77777777" w:rsidR="00974F43" w:rsidRPr="00B56CB6" w:rsidRDefault="00DF7D72" w:rsidP="00BE06F5">
            <w:pPr>
              <w:autoSpaceDE w:val="0"/>
              <w:autoSpaceDN w:val="0"/>
              <w:adjustRightInd w:val="0"/>
              <w:ind w:right="10"/>
              <w:jc w:val="center"/>
              <w:rPr>
                <w:rFonts w:ascii="Times New Roman" w:hAnsi="Times New Roman" w:cs="Times New Roman"/>
                <w:sz w:val="24"/>
                <w:szCs w:val="24"/>
              </w:rPr>
            </w:pPr>
            <w:r w:rsidRPr="0012130C">
              <w:rPr>
                <w:rFonts w:ascii="Times New Roman" w:hAnsi="Times New Roman" w:cs="Times New Roman"/>
                <w:sz w:val="24"/>
                <w:szCs w:val="24"/>
              </w:rPr>
              <w:t>504</w:t>
            </w:r>
          </w:p>
        </w:tc>
        <w:tc>
          <w:tcPr>
            <w:tcW w:w="2268" w:type="dxa"/>
            <w:vAlign w:val="bottom"/>
          </w:tcPr>
          <w:p w14:paraId="6509501E" w14:textId="77777777" w:rsidR="00974F43" w:rsidRPr="00B56CB6" w:rsidRDefault="00974F43" w:rsidP="00BE06F5">
            <w:pPr>
              <w:autoSpaceDE w:val="0"/>
              <w:autoSpaceDN w:val="0"/>
              <w:adjustRightInd w:val="0"/>
              <w:ind w:right="10"/>
              <w:jc w:val="center"/>
              <w:rPr>
                <w:rFonts w:ascii="Times New Roman" w:hAnsi="Times New Roman" w:cs="Times New Roman"/>
                <w:sz w:val="24"/>
                <w:szCs w:val="24"/>
              </w:rPr>
            </w:pPr>
          </w:p>
        </w:tc>
      </w:tr>
      <w:tr w:rsidR="00AA47AF" w14:paraId="76F85CE2" w14:textId="77777777" w:rsidTr="009E18EB">
        <w:tc>
          <w:tcPr>
            <w:tcW w:w="284" w:type="dxa"/>
          </w:tcPr>
          <w:p w14:paraId="6BBFDFF9" w14:textId="77777777" w:rsidR="00974F43" w:rsidRPr="00B56CB6" w:rsidRDefault="00974F43" w:rsidP="00BE06F5">
            <w:pPr>
              <w:rPr>
                <w:rFonts w:ascii="Times New Roman" w:hAnsi="Times New Roman" w:cs="Times New Roman"/>
                <w:sz w:val="24"/>
                <w:szCs w:val="24"/>
              </w:rPr>
            </w:pPr>
          </w:p>
        </w:tc>
        <w:tc>
          <w:tcPr>
            <w:tcW w:w="4106" w:type="dxa"/>
            <w:vAlign w:val="bottom"/>
          </w:tcPr>
          <w:p w14:paraId="3B0032C4" w14:textId="77777777" w:rsidR="00974F43" w:rsidRPr="00B56CB6" w:rsidRDefault="00DF7D72" w:rsidP="00BE06F5">
            <w:pPr>
              <w:autoSpaceDE w:val="0"/>
              <w:autoSpaceDN w:val="0"/>
              <w:adjustRightInd w:val="0"/>
              <w:jc w:val="center"/>
              <w:rPr>
                <w:rFonts w:ascii="Times New Roman" w:hAnsi="Times New Roman" w:cs="Times New Roman"/>
                <w:sz w:val="24"/>
                <w:szCs w:val="24"/>
              </w:rPr>
            </w:pPr>
            <w:r w:rsidRPr="00B56CB6">
              <w:rPr>
                <w:rFonts w:ascii="Times New Roman" w:hAnsi="Times New Roman" w:cs="Times New Roman"/>
                <w:sz w:val="24"/>
                <w:szCs w:val="24"/>
              </w:rPr>
              <w:t>Number of Countries</w:t>
            </w:r>
          </w:p>
        </w:tc>
        <w:tc>
          <w:tcPr>
            <w:tcW w:w="2126" w:type="dxa"/>
            <w:vAlign w:val="bottom"/>
          </w:tcPr>
          <w:p w14:paraId="11A864D8" w14:textId="77777777" w:rsidR="00974F43" w:rsidRPr="00B56CB6" w:rsidRDefault="00DF7D72" w:rsidP="00BE06F5">
            <w:pPr>
              <w:autoSpaceDE w:val="0"/>
              <w:autoSpaceDN w:val="0"/>
              <w:adjustRightInd w:val="0"/>
              <w:ind w:right="10"/>
              <w:jc w:val="center"/>
              <w:rPr>
                <w:rFonts w:ascii="Times New Roman" w:hAnsi="Times New Roman" w:cs="Times New Roman"/>
                <w:sz w:val="24"/>
                <w:szCs w:val="24"/>
              </w:rPr>
            </w:pPr>
            <w:r>
              <w:rPr>
                <w:rFonts w:ascii="Times New Roman" w:hAnsi="Times New Roman" w:cs="Times New Roman"/>
                <w:sz w:val="24"/>
                <w:szCs w:val="24"/>
              </w:rPr>
              <w:t>28</w:t>
            </w:r>
          </w:p>
        </w:tc>
        <w:tc>
          <w:tcPr>
            <w:tcW w:w="2268" w:type="dxa"/>
            <w:vAlign w:val="bottom"/>
          </w:tcPr>
          <w:p w14:paraId="04316B91" w14:textId="77777777" w:rsidR="00974F43" w:rsidRPr="00B56CB6" w:rsidRDefault="00974F43" w:rsidP="00BE06F5">
            <w:pPr>
              <w:autoSpaceDE w:val="0"/>
              <w:autoSpaceDN w:val="0"/>
              <w:adjustRightInd w:val="0"/>
              <w:ind w:right="10"/>
              <w:jc w:val="center"/>
              <w:rPr>
                <w:rFonts w:ascii="Times New Roman" w:hAnsi="Times New Roman" w:cs="Times New Roman"/>
                <w:sz w:val="24"/>
                <w:szCs w:val="24"/>
              </w:rPr>
            </w:pPr>
          </w:p>
        </w:tc>
      </w:tr>
      <w:tr w:rsidR="00AA47AF" w14:paraId="1548E877" w14:textId="77777777" w:rsidTr="009E18EB">
        <w:tc>
          <w:tcPr>
            <w:tcW w:w="284" w:type="dxa"/>
          </w:tcPr>
          <w:p w14:paraId="311047AF" w14:textId="77777777" w:rsidR="00974F43" w:rsidRPr="00B56CB6" w:rsidRDefault="00974F43" w:rsidP="00BE06F5">
            <w:pPr>
              <w:rPr>
                <w:rFonts w:ascii="Times New Roman" w:hAnsi="Times New Roman" w:cs="Times New Roman"/>
                <w:sz w:val="24"/>
                <w:szCs w:val="24"/>
                <w:u w:val="single"/>
              </w:rPr>
            </w:pPr>
          </w:p>
        </w:tc>
        <w:tc>
          <w:tcPr>
            <w:tcW w:w="4106" w:type="dxa"/>
            <w:vAlign w:val="bottom"/>
          </w:tcPr>
          <w:p w14:paraId="589AC888" w14:textId="77777777" w:rsidR="00974F43" w:rsidRPr="00B56CB6" w:rsidRDefault="00DF7D72" w:rsidP="00BE06F5">
            <w:pPr>
              <w:autoSpaceDE w:val="0"/>
              <w:autoSpaceDN w:val="0"/>
              <w:adjustRightInd w:val="0"/>
              <w:jc w:val="center"/>
              <w:rPr>
                <w:rFonts w:ascii="Times New Roman" w:hAnsi="Times New Roman" w:cs="Times New Roman"/>
                <w:sz w:val="24"/>
                <w:szCs w:val="24"/>
              </w:rPr>
            </w:pPr>
            <w:proofErr w:type="gramStart"/>
            <w:r w:rsidRPr="0012130C">
              <w:rPr>
                <w:rFonts w:ascii="Times New Roman" w:hAnsi="Times New Roman" w:cs="Times New Roman"/>
                <w:sz w:val="24"/>
                <w:szCs w:val="24"/>
              </w:rPr>
              <w:t>F(</w:t>
            </w:r>
            <w:proofErr w:type="gramEnd"/>
            <w:r w:rsidRPr="0012130C">
              <w:rPr>
                <w:rFonts w:ascii="Times New Roman" w:hAnsi="Times New Roman" w:cs="Times New Roman"/>
                <w:sz w:val="24"/>
                <w:szCs w:val="24"/>
              </w:rPr>
              <w:t>6,</w:t>
            </w:r>
            <w:r>
              <w:rPr>
                <w:rFonts w:ascii="Times New Roman" w:hAnsi="Times New Roman" w:cs="Times New Roman"/>
                <w:sz w:val="24"/>
                <w:szCs w:val="24"/>
              </w:rPr>
              <w:t xml:space="preserve"> </w:t>
            </w:r>
            <w:r w:rsidRPr="0012130C">
              <w:rPr>
                <w:rFonts w:ascii="Times New Roman" w:hAnsi="Times New Roman" w:cs="Times New Roman"/>
                <w:sz w:val="24"/>
                <w:szCs w:val="24"/>
              </w:rPr>
              <w:t>470)</w:t>
            </w:r>
          </w:p>
        </w:tc>
        <w:tc>
          <w:tcPr>
            <w:tcW w:w="2126" w:type="dxa"/>
            <w:vAlign w:val="bottom"/>
          </w:tcPr>
          <w:p w14:paraId="450BFFF1" w14:textId="77777777" w:rsidR="00974F43" w:rsidRPr="00B56CB6" w:rsidRDefault="00DF7D72" w:rsidP="00BE06F5">
            <w:pPr>
              <w:autoSpaceDE w:val="0"/>
              <w:autoSpaceDN w:val="0"/>
              <w:adjustRightInd w:val="0"/>
              <w:ind w:right="10"/>
              <w:jc w:val="center"/>
              <w:rPr>
                <w:rFonts w:ascii="Times New Roman" w:hAnsi="Times New Roman" w:cs="Times New Roman"/>
                <w:sz w:val="24"/>
                <w:szCs w:val="24"/>
              </w:rPr>
            </w:pPr>
            <w:r w:rsidRPr="0012130C">
              <w:rPr>
                <w:rFonts w:ascii="Times New Roman" w:hAnsi="Times New Roman" w:cs="Times New Roman"/>
                <w:sz w:val="24"/>
                <w:szCs w:val="24"/>
              </w:rPr>
              <w:t xml:space="preserve">242.82 </w:t>
            </w:r>
            <w:r w:rsidRPr="00B56CB6">
              <w:rPr>
                <w:rFonts w:ascii="Times New Roman" w:hAnsi="Times New Roman" w:cs="Times New Roman"/>
                <w:sz w:val="24"/>
                <w:szCs w:val="24"/>
              </w:rPr>
              <w:t>(0.0000)</w:t>
            </w:r>
          </w:p>
        </w:tc>
        <w:tc>
          <w:tcPr>
            <w:tcW w:w="2268" w:type="dxa"/>
            <w:vAlign w:val="bottom"/>
          </w:tcPr>
          <w:p w14:paraId="7866A806" w14:textId="77777777" w:rsidR="00974F43" w:rsidRPr="00B56CB6" w:rsidRDefault="00974F43" w:rsidP="00BE06F5">
            <w:pPr>
              <w:autoSpaceDE w:val="0"/>
              <w:autoSpaceDN w:val="0"/>
              <w:adjustRightInd w:val="0"/>
              <w:ind w:right="10"/>
              <w:jc w:val="center"/>
              <w:rPr>
                <w:rFonts w:ascii="Times New Roman" w:hAnsi="Times New Roman" w:cs="Times New Roman"/>
                <w:sz w:val="24"/>
                <w:szCs w:val="24"/>
              </w:rPr>
            </w:pPr>
          </w:p>
        </w:tc>
      </w:tr>
    </w:tbl>
    <w:p w14:paraId="290AE17E" w14:textId="77777777" w:rsidR="00661A35" w:rsidRDefault="00DF7D72" w:rsidP="00BE06F5">
      <w:pPr>
        <w:pBdr>
          <w:top w:val="single" w:sz="4" w:space="1" w:color="auto"/>
        </w:pBdr>
        <w:spacing w:line="240" w:lineRule="auto"/>
      </w:pPr>
      <w:r w:rsidRPr="00B56CB6">
        <w:rPr>
          <w:rFonts w:ascii="Times New Roman" w:hAnsi="Times New Roman" w:cs="Times New Roman"/>
          <w:sz w:val="20"/>
          <w:szCs w:val="20"/>
        </w:rPr>
        <w:t>Note: *</w:t>
      </w:r>
      <w:r>
        <w:rPr>
          <w:rFonts w:ascii="Times New Roman" w:hAnsi="Times New Roman" w:cs="Times New Roman"/>
          <w:sz w:val="20"/>
          <w:szCs w:val="20"/>
        </w:rPr>
        <w:t>* and ***</w:t>
      </w:r>
      <w:r w:rsidRPr="00B56CB6">
        <w:rPr>
          <w:rFonts w:ascii="Times New Roman" w:hAnsi="Times New Roman" w:cs="Times New Roman"/>
          <w:sz w:val="20"/>
          <w:szCs w:val="20"/>
        </w:rPr>
        <w:t xml:space="preserve"> de</w:t>
      </w:r>
      <w:r>
        <w:rPr>
          <w:rFonts w:ascii="Times New Roman" w:hAnsi="Times New Roman" w:cs="Times New Roman"/>
          <w:sz w:val="20"/>
          <w:szCs w:val="20"/>
        </w:rPr>
        <w:t>note significance levels at</w:t>
      </w:r>
      <w:r w:rsidRPr="00B56CB6">
        <w:rPr>
          <w:rFonts w:ascii="Times New Roman" w:hAnsi="Times New Roman" w:cs="Times New Roman"/>
          <w:sz w:val="20"/>
          <w:szCs w:val="20"/>
        </w:rPr>
        <w:t xml:space="preserve"> 5% and 1% respectively.</w:t>
      </w:r>
    </w:p>
    <w:p w14:paraId="21796475" w14:textId="77777777" w:rsidR="00661A35" w:rsidRDefault="00661A35" w:rsidP="00BE06F5">
      <w:pPr>
        <w:spacing w:line="240" w:lineRule="auto"/>
      </w:pPr>
    </w:p>
    <w:p w14:paraId="490FB37F" w14:textId="77777777" w:rsidR="009E18EB" w:rsidRPr="001E601A" w:rsidRDefault="00DF7D72" w:rsidP="00BE06F5">
      <w:pPr>
        <w:spacing w:line="240" w:lineRule="auto"/>
        <w:rPr>
          <w:rFonts w:ascii="Times New Roman" w:hAnsi="Times New Roman" w:cs="Times New Roman"/>
          <w:sz w:val="24"/>
          <w:szCs w:val="24"/>
        </w:rPr>
      </w:pPr>
      <w:r w:rsidRPr="001E601A">
        <w:rPr>
          <w:rFonts w:ascii="Times New Roman" w:hAnsi="Times New Roman" w:cs="Times New Roman"/>
          <w:sz w:val="24"/>
          <w:szCs w:val="24"/>
        </w:rPr>
        <w:t>Table 7: Method of Moments Quantile Regression (MMQR)</w:t>
      </w:r>
    </w:p>
    <w:tbl>
      <w:tblPr>
        <w:tblW w:w="10188" w:type="dxa"/>
        <w:jc w:val="center"/>
        <w:tblLayout w:type="fixed"/>
        <w:tblCellMar>
          <w:left w:w="75" w:type="dxa"/>
          <w:right w:w="75" w:type="dxa"/>
        </w:tblCellMar>
        <w:tblLook w:val="0000" w:firstRow="0" w:lastRow="0" w:firstColumn="0" w:lastColumn="0" w:noHBand="0" w:noVBand="0"/>
      </w:tblPr>
      <w:tblGrid>
        <w:gridCol w:w="2268"/>
        <w:gridCol w:w="1584"/>
        <w:gridCol w:w="1584"/>
        <w:gridCol w:w="1584"/>
        <w:gridCol w:w="1584"/>
        <w:gridCol w:w="1584"/>
      </w:tblGrid>
      <w:tr w:rsidR="00AA47AF" w14:paraId="34594AB3" w14:textId="77777777" w:rsidTr="00B30A24">
        <w:trPr>
          <w:jc w:val="center"/>
        </w:trPr>
        <w:tc>
          <w:tcPr>
            <w:tcW w:w="2268" w:type="dxa"/>
            <w:tcBorders>
              <w:top w:val="single" w:sz="6" w:space="0" w:color="auto"/>
              <w:left w:val="nil"/>
              <w:bottom w:val="nil"/>
              <w:right w:val="nil"/>
            </w:tcBorders>
          </w:tcPr>
          <w:p w14:paraId="7A65E48D" w14:textId="77777777" w:rsidR="009E18EB" w:rsidRDefault="009E18EB" w:rsidP="00BE06F5">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single" w:sz="6" w:space="0" w:color="auto"/>
              <w:left w:val="nil"/>
              <w:bottom w:val="nil"/>
              <w:right w:val="nil"/>
            </w:tcBorders>
          </w:tcPr>
          <w:p w14:paraId="31FDF820"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4" w:type="dxa"/>
            <w:tcBorders>
              <w:top w:val="single" w:sz="6" w:space="0" w:color="auto"/>
              <w:left w:val="nil"/>
              <w:bottom w:val="nil"/>
              <w:right w:val="nil"/>
            </w:tcBorders>
          </w:tcPr>
          <w:p w14:paraId="7724A3B0"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4" w:type="dxa"/>
            <w:tcBorders>
              <w:top w:val="single" w:sz="6" w:space="0" w:color="auto"/>
              <w:left w:val="nil"/>
              <w:bottom w:val="nil"/>
              <w:right w:val="nil"/>
            </w:tcBorders>
          </w:tcPr>
          <w:p w14:paraId="53A87C64"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84" w:type="dxa"/>
            <w:tcBorders>
              <w:top w:val="single" w:sz="6" w:space="0" w:color="auto"/>
              <w:left w:val="nil"/>
              <w:bottom w:val="nil"/>
              <w:right w:val="nil"/>
            </w:tcBorders>
          </w:tcPr>
          <w:p w14:paraId="01B8E013"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84" w:type="dxa"/>
            <w:tcBorders>
              <w:top w:val="single" w:sz="6" w:space="0" w:color="auto"/>
              <w:left w:val="nil"/>
              <w:bottom w:val="nil"/>
              <w:right w:val="nil"/>
            </w:tcBorders>
          </w:tcPr>
          <w:p w14:paraId="2C78E0EA"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A47AF" w14:paraId="649F5DC7" w14:textId="77777777" w:rsidTr="00B30A24">
        <w:trPr>
          <w:jc w:val="center"/>
        </w:trPr>
        <w:tc>
          <w:tcPr>
            <w:tcW w:w="2268" w:type="dxa"/>
            <w:tcBorders>
              <w:top w:val="nil"/>
              <w:left w:val="nil"/>
              <w:bottom w:val="single" w:sz="6" w:space="0" w:color="auto"/>
              <w:right w:val="nil"/>
            </w:tcBorders>
          </w:tcPr>
          <w:p w14:paraId="60938FC4" w14:textId="77777777" w:rsidR="009E18EB" w:rsidRDefault="00DF7D72" w:rsidP="00BE06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584" w:type="dxa"/>
            <w:tcBorders>
              <w:top w:val="nil"/>
              <w:left w:val="nil"/>
              <w:bottom w:val="single" w:sz="6" w:space="0" w:color="auto"/>
              <w:right w:val="nil"/>
            </w:tcBorders>
          </w:tcPr>
          <w:p w14:paraId="17FF2AC5"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position w:val="-12"/>
              </w:rPr>
              <w:object w:dxaOrig="405" w:dyaOrig="360" w14:anchorId="685D1A08">
                <v:shape id="_x0000_i1063" type="#_x0000_t75" style="width:20.25pt;height:18pt" o:ole="">
                  <v:imagedata r:id="rId83" o:title=""/>
                </v:shape>
                <o:OLEObject Type="Embed" ProgID="Equation.DSMT4" ShapeID="_x0000_i1063" DrawAspect="Content" ObjectID="_1770110324" r:id="rId84"/>
              </w:object>
            </w:r>
          </w:p>
        </w:tc>
        <w:tc>
          <w:tcPr>
            <w:tcW w:w="1584" w:type="dxa"/>
            <w:tcBorders>
              <w:top w:val="nil"/>
              <w:left w:val="nil"/>
              <w:bottom w:val="single" w:sz="6" w:space="0" w:color="auto"/>
              <w:right w:val="nil"/>
            </w:tcBorders>
          </w:tcPr>
          <w:p w14:paraId="331895DE"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position w:val="-12"/>
              </w:rPr>
              <w:object w:dxaOrig="480" w:dyaOrig="360" w14:anchorId="56BC9705">
                <v:shape id="_x0000_i1064" type="#_x0000_t75" style="width:24pt;height:18pt" o:ole="">
                  <v:imagedata r:id="rId85" o:title=""/>
                </v:shape>
                <o:OLEObject Type="Embed" ProgID="Equation.DSMT4" ShapeID="_x0000_i1064" DrawAspect="Content" ObjectID="_1770110325" r:id="rId86"/>
              </w:object>
            </w:r>
          </w:p>
        </w:tc>
        <w:tc>
          <w:tcPr>
            <w:tcW w:w="1584" w:type="dxa"/>
            <w:tcBorders>
              <w:top w:val="nil"/>
              <w:left w:val="nil"/>
              <w:bottom w:val="single" w:sz="6" w:space="0" w:color="auto"/>
              <w:right w:val="nil"/>
            </w:tcBorders>
          </w:tcPr>
          <w:p w14:paraId="513A385E"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position w:val="-12"/>
              </w:rPr>
              <w:object w:dxaOrig="405" w:dyaOrig="360" w14:anchorId="1BFA8D29">
                <v:shape id="_x0000_i1065" type="#_x0000_t75" style="width:20.25pt;height:18pt" o:ole="">
                  <v:imagedata r:id="rId87" o:title=""/>
                </v:shape>
                <o:OLEObject Type="Embed" ProgID="Equation.DSMT4" ShapeID="_x0000_i1065" DrawAspect="Content" ObjectID="_1770110326" r:id="rId88"/>
              </w:object>
            </w:r>
          </w:p>
        </w:tc>
        <w:tc>
          <w:tcPr>
            <w:tcW w:w="1584" w:type="dxa"/>
            <w:tcBorders>
              <w:top w:val="nil"/>
              <w:left w:val="nil"/>
              <w:bottom w:val="single" w:sz="6" w:space="0" w:color="auto"/>
              <w:right w:val="nil"/>
            </w:tcBorders>
          </w:tcPr>
          <w:p w14:paraId="41915C5E"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position w:val="-12"/>
              </w:rPr>
              <w:object w:dxaOrig="480" w:dyaOrig="360" w14:anchorId="76061869">
                <v:shape id="_x0000_i1066" type="#_x0000_t75" style="width:24pt;height:18pt" o:ole="">
                  <v:imagedata r:id="rId89" o:title=""/>
                </v:shape>
                <o:OLEObject Type="Embed" ProgID="Equation.DSMT4" ShapeID="_x0000_i1066" DrawAspect="Content" ObjectID="_1770110327" r:id="rId90"/>
              </w:object>
            </w:r>
          </w:p>
        </w:tc>
        <w:tc>
          <w:tcPr>
            <w:tcW w:w="1584" w:type="dxa"/>
            <w:tcBorders>
              <w:top w:val="nil"/>
              <w:left w:val="nil"/>
              <w:bottom w:val="single" w:sz="6" w:space="0" w:color="auto"/>
              <w:right w:val="nil"/>
            </w:tcBorders>
          </w:tcPr>
          <w:p w14:paraId="00916369"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position w:val="-12"/>
              </w:rPr>
              <w:object w:dxaOrig="405" w:dyaOrig="360" w14:anchorId="62E36F06">
                <v:shape id="_x0000_i1067" type="#_x0000_t75" style="width:20.25pt;height:18pt" o:ole="">
                  <v:imagedata r:id="rId91" o:title=""/>
                </v:shape>
                <o:OLEObject Type="Embed" ProgID="Equation.DSMT4" ShapeID="_x0000_i1067" DrawAspect="Content" ObjectID="_1770110328" r:id="rId92"/>
              </w:object>
            </w:r>
          </w:p>
        </w:tc>
      </w:tr>
      <w:tr w:rsidR="00AA47AF" w14:paraId="3E12F135" w14:textId="77777777" w:rsidTr="00B30A24">
        <w:trPr>
          <w:jc w:val="center"/>
        </w:trPr>
        <w:tc>
          <w:tcPr>
            <w:tcW w:w="2268" w:type="dxa"/>
            <w:tcBorders>
              <w:top w:val="nil"/>
              <w:left w:val="nil"/>
              <w:bottom w:val="nil"/>
              <w:right w:val="nil"/>
            </w:tcBorders>
          </w:tcPr>
          <w:p w14:paraId="50DD82B2" w14:textId="77777777" w:rsidR="009E18EB" w:rsidRDefault="009E18EB" w:rsidP="00BE06F5">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14:paraId="5CEBBF14" w14:textId="77777777" w:rsidR="009E18EB" w:rsidRDefault="009E18EB" w:rsidP="00BE06F5">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14:paraId="5B0E48FE" w14:textId="77777777" w:rsidR="009E18EB" w:rsidRDefault="009E18EB" w:rsidP="00BE06F5">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14:paraId="4E13133C" w14:textId="77777777" w:rsidR="009E18EB" w:rsidRDefault="009E18EB" w:rsidP="00BE06F5">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14:paraId="4CD5D244" w14:textId="77777777" w:rsidR="009E18EB" w:rsidRDefault="009E18EB" w:rsidP="00BE06F5">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14:paraId="41F06301" w14:textId="77777777" w:rsidR="009E18EB" w:rsidRDefault="009E18EB" w:rsidP="00BE06F5">
            <w:pPr>
              <w:widowControl w:val="0"/>
              <w:autoSpaceDE w:val="0"/>
              <w:autoSpaceDN w:val="0"/>
              <w:adjustRightInd w:val="0"/>
              <w:spacing w:after="0" w:line="240" w:lineRule="auto"/>
              <w:jc w:val="center"/>
              <w:rPr>
                <w:rFonts w:ascii="Times New Roman" w:hAnsi="Times New Roman" w:cs="Times New Roman"/>
                <w:sz w:val="24"/>
                <w:szCs w:val="24"/>
              </w:rPr>
            </w:pPr>
          </w:p>
        </w:tc>
      </w:tr>
      <w:tr w:rsidR="00AA47AF" w14:paraId="4B824E31" w14:textId="77777777" w:rsidTr="00B30A24">
        <w:trPr>
          <w:jc w:val="center"/>
        </w:trPr>
        <w:tc>
          <w:tcPr>
            <w:tcW w:w="2268" w:type="dxa"/>
            <w:tcBorders>
              <w:top w:val="nil"/>
              <w:left w:val="nil"/>
              <w:bottom w:val="nil"/>
              <w:right w:val="nil"/>
            </w:tcBorders>
          </w:tcPr>
          <w:p w14:paraId="77BC61E8" w14:textId="77777777" w:rsidR="009E18EB" w:rsidRPr="006D47B9" w:rsidRDefault="00DF7D72" w:rsidP="00BE06F5">
            <w:pPr>
              <w:widowControl w:val="0"/>
              <w:autoSpaceDE w:val="0"/>
              <w:autoSpaceDN w:val="0"/>
              <w:adjustRightInd w:val="0"/>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lnTRM</m:t>
                </m:r>
              </m:oMath>
            </m:oMathPara>
          </w:p>
        </w:tc>
        <w:tc>
          <w:tcPr>
            <w:tcW w:w="1584" w:type="dxa"/>
            <w:tcBorders>
              <w:top w:val="nil"/>
              <w:left w:val="nil"/>
              <w:bottom w:val="nil"/>
              <w:right w:val="nil"/>
            </w:tcBorders>
          </w:tcPr>
          <w:p w14:paraId="1104F174"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-0.0399***</w:t>
            </w:r>
          </w:p>
        </w:tc>
        <w:tc>
          <w:tcPr>
            <w:tcW w:w="1584" w:type="dxa"/>
            <w:tcBorders>
              <w:top w:val="nil"/>
              <w:left w:val="nil"/>
              <w:bottom w:val="nil"/>
              <w:right w:val="nil"/>
            </w:tcBorders>
          </w:tcPr>
          <w:p w14:paraId="05AF9F79"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-0.0200**</w:t>
            </w:r>
          </w:p>
        </w:tc>
        <w:tc>
          <w:tcPr>
            <w:tcW w:w="1584" w:type="dxa"/>
            <w:tcBorders>
              <w:top w:val="nil"/>
              <w:left w:val="nil"/>
              <w:bottom w:val="nil"/>
              <w:right w:val="nil"/>
            </w:tcBorders>
          </w:tcPr>
          <w:p w14:paraId="3D859E81"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-0.0205***</w:t>
            </w:r>
          </w:p>
        </w:tc>
        <w:tc>
          <w:tcPr>
            <w:tcW w:w="1584" w:type="dxa"/>
            <w:tcBorders>
              <w:top w:val="nil"/>
              <w:left w:val="nil"/>
              <w:bottom w:val="nil"/>
              <w:right w:val="nil"/>
            </w:tcBorders>
          </w:tcPr>
          <w:p w14:paraId="4A1E8185"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-0.0181***</w:t>
            </w:r>
          </w:p>
        </w:tc>
        <w:tc>
          <w:tcPr>
            <w:tcW w:w="1584" w:type="dxa"/>
            <w:tcBorders>
              <w:top w:val="nil"/>
              <w:left w:val="nil"/>
              <w:bottom w:val="nil"/>
              <w:right w:val="nil"/>
            </w:tcBorders>
          </w:tcPr>
          <w:p w14:paraId="0F5BB02C"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-0.0933***</w:t>
            </w:r>
          </w:p>
        </w:tc>
      </w:tr>
      <w:tr w:rsidR="00AA47AF" w14:paraId="2A4756F0" w14:textId="77777777" w:rsidTr="00B30A24">
        <w:trPr>
          <w:jc w:val="center"/>
        </w:trPr>
        <w:tc>
          <w:tcPr>
            <w:tcW w:w="2268" w:type="dxa"/>
            <w:tcBorders>
              <w:top w:val="nil"/>
              <w:left w:val="nil"/>
              <w:bottom w:val="nil"/>
              <w:right w:val="nil"/>
            </w:tcBorders>
          </w:tcPr>
          <w:p w14:paraId="60FE8F35" w14:textId="77777777" w:rsidR="009E18EB" w:rsidRDefault="009E18EB" w:rsidP="00BE06F5">
            <w:pPr>
              <w:widowControl w:val="0"/>
              <w:autoSpaceDE w:val="0"/>
              <w:autoSpaceDN w:val="0"/>
              <w:adjustRightInd w:val="0"/>
              <w:spacing w:after="0" w:line="240" w:lineRule="auto"/>
              <w:jc w:val="both"/>
              <w:rPr>
                <w:rFonts w:ascii="Times New Roman" w:hAnsi="Times New Roman" w:cs="Times New Roman"/>
                <w:sz w:val="24"/>
                <w:szCs w:val="24"/>
              </w:rPr>
            </w:pPr>
          </w:p>
        </w:tc>
        <w:tc>
          <w:tcPr>
            <w:tcW w:w="1584" w:type="dxa"/>
            <w:tcBorders>
              <w:top w:val="nil"/>
              <w:left w:val="nil"/>
              <w:bottom w:val="nil"/>
              <w:right w:val="nil"/>
            </w:tcBorders>
          </w:tcPr>
          <w:p w14:paraId="20C8C331"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(0.0068)</w:t>
            </w:r>
          </w:p>
        </w:tc>
        <w:tc>
          <w:tcPr>
            <w:tcW w:w="1584" w:type="dxa"/>
            <w:tcBorders>
              <w:top w:val="nil"/>
              <w:left w:val="nil"/>
              <w:bottom w:val="nil"/>
              <w:right w:val="nil"/>
            </w:tcBorders>
          </w:tcPr>
          <w:p w14:paraId="50F4E799"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(0.0045)</w:t>
            </w:r>
          </w:p>
        </w:tc>
        <w:tc>
          <w:tcPr>
            <w:tcW w:w="1584" w:type="dxa"/>
            <w:tcBorders>
              <w:top w:val="nil"/>
              <w:left w:val="nil"/>
              <w:bottom w:val="nil"/>
              <w:right w:val="nil"/>
            </w:tcBorders>
          </w:tcPr>
          <w:p w14:paraId="5E65A648"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(0.0033)</w:t>
            </w:r>
          </w:p>
        </w:tc>
        <w:tc>
          <w:tcPr>
            <w:tcW w:w="1584" w:type="dxa"/>
            <w:tcBorders>
              <w:top w:val="nil"/>
              <w:left w:val="nil"/>
              <w:bottom w:val="nil"/>
              <w:right w:val="nil"/>
            </w:tcBorders>
          </w:tcPr>
          <w:p w14:paraId="7CA8FFDB"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(0.0039)</w:t>
            </w:r>
          </w:p>
        </w:tc>
        <w:tc>
          <w:tcPr>
            <w:tcW w:w="1584" w:type="dxa"/>
            <w:tcBorders>
              <w:top w:val="nil"/>
              <w:left w:val="nil"/>
              <w:bottom w:val="nil"/>
              <w:right w:val="nil"/>
            </w:tcBorders>
          </w:tcPr>
          <w:p w14:paraId="7A6C5D61"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w:t>
            </w:r>
          </w:p>
        </w:tc>
      </w:tr>
      <w:tr w:rsidR="00AA47AF" w14:paraId="387C1738" w14:textId="77777777" w:rsidTr="00B30A24">
        <w:trPr>
          <w:jc w:val="center"/>
        </w:trPr>
        <w:tc>
          <w:tcPr>
            <w:tcW w:w="2268" w:type="dxa"/>
            <w:tcBorders>
              <w:top w:val="nil"/>
              <w:left w:val="nil"/>
              <w:bottom w:val="nil"/>
              <w:right w:val="nil"/>
            </w:tcBorders>
          </w:tcPr>
          <w:p w14:paraId="0DDF030B" w14:textId="77777777" w:rsidR="009E18EB" w:rsidRPr="006D47B9" w:rsidRDefault="00DF7D72" w:rsidP="00BE06F5">
            <w:pPr>
              <w:widowControl w:val="0"/>
              <w:autoSpaceDE w:val="0"/>
              <w:autoSpaceDN w:val="0"/>
              <w:adjustRightInd w:val="0"/>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lnETAX</m:t>
                </m:r>
              </m:oMath>
            </m:oMathPara>
          </w:p>
        </w:tc>
        <w:tc>
          <w:tcPr>
            <w:tcW w:w="1584" w:type="dxa"/>
            <w:tcBorders>
              <w:top w:val="nil"/>
              <w:left w:val="nil"/>
              <w:bottom w:val="nil"/>
              <w:right w:val="nil"/>
            </w:tcBorders>
          </w:tcPr>
          <w:p w14:paraId="3F8465E8"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0.0899***</w:t>
            </w:r>
          </w:p>
        </w:tc>
        <w:tc>
          <w:tcPr>
            <w:tcW w:w="1584" w:type="dxa"/>
            <w:tcBorders>
              <w:top w:val="nil"/>
              <w:left w:val="nil"/>
              <w:bottom w:val="nil"/>
              <w:right w:val="nil"/>
            </w:tcBorders>
          </w:tcPr>
          <w:p w14:paraId="554655DD"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0.0926***</w:t>
            </w:r>
          </w:p>
        </w:tc>
        <w:tc>
          <w:tcPr>
            <w:tcW w:w="1584" w:type="dxa"/>
            <w:tcBorders>
              <w:top w:val="nil"/>
              <w:left w:val="nil"/>
              <w:bottom w:val="nil"/>
              <w:right w:val="nil"/>
            </w:tcBorders>
          </w:tcPr>
          <w:p w14:paraId="0658DE4C"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w:t>
            </w:r>
          </w:p>
        </w:tc>
        <w:tc>
          <w:tcPr>
            <w:tcW w:w="1584" w:type="dxa"/>
            <w:tcBorders>
              <w:top w:val="nil"/>
              <w:left w:val="nil"/>
              <w:bottom w:val="nil"/>
              <w:right w:val="nil"/>
            </w:tcBorders>
          </w:tcPr>
          <w:p w14:paraId="1A54C960"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0.188*</w:t>
            </w:r>
          </w:p>
        </w:tc>
        <w:tc>
          <w:tcPr>
            <w:tcW w:w="1584" w:type="dxa"/>
            <w:tcBorders>
              <w:top w:val="nil"/>
              <w:left w:val="nil"/>
              <w:bottom w:val="nil"/>
              <w:right w:val="nil"/>
            </w:tcBorders>
          </w:tcPr>
          <w:p w14:paraId="41BE3174"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0.261*</w:t>
            </w:r>
          </w:p>
        </w:tc>
      </w:tr>
      <w:tr w:rsidR="00AA47AF" w14:paraId="174B2047" w14:textId="77777777" w:rsidTr="00B30A24">
        <w:trPr>
          <w:jc w:val="center"/>
        </w:trPr>
        <w:tc>
          <w:tcPr>
            <w:tcW w:w="2268" w:type="dxa"/>
            <w:tcBorders>
              <w:top w:val="nil"/>
              <w:left w:val="nil"/>
              <w:bottom w:val="nil"/>
              <w:right w:val="nil"/>
            </w:tcBorders>
          </w:tcPr>
          <w:p w14:paraId="0B937E49" w14:textId="77777777" w:rsidR="009E18EB" w:rsidRDefault="009E18EB" w:rsidP="00BE06F5">
            <w:pPr>
              <w:widowControl w:val="0"/>
              <w:autoSpaceDE w:val="0"/>
              <w:autoSpaceDN w:val="0"/>
              <w:adjustRightInd w:val="0"/>
              <w:spacing w:after="0" w:line="240" w:lineRule="auto"/>
              <w:jc w:val="both"/>
              <w:rPr>
                <w:rFonts w:ascii="Times New Roman" w:hAnsi="Times New Roman" w:cs="Times New Roman"/>
                <w:sz w:val="24"/>
                <w:szCs w:val="24"/>
              </w:rPr>
            </w:pPr>
          </w:p>
        </w:tc>
        <w:tc>
          <w:tcPr>
            <w:tcW w:w="1584" w:type="dxa"/>
            <w:tcBorders>
              <w:top w:val="nil"/>
              <w:left w:val="nil"/>
              <w:bottom w:val="nil"/>
              <w:right w:val="nil"/>
            </w:tcBorders>
          </w:tcPr>
          <w:p w14:paraId="3460802D"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(0.0190)</w:t>
            </w:r>
          </w:p>
        </w:tc>
        <w:tc>
          <w:tcPr>
            <w:tcW w:w="1584" w:type="dxa"/>
            <w:tcBorders>
              <w:top w:val="nil"/>
              <w:left w:val="nil"/>
              <w:bottom w:val="nil"/>
              <w:right w:val="nil"/>
            </w:tcBorders>
          </w:tcPr>
          <w:p w14:paraId="75220706"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c>
          <w:tcPr>
            <w:tcW w:w="1584" w:type="dxa"/>
            <w:tcBorders>
              <w:top w:val="nil"/>
              <w:left w:val="nil"/>
              <w:bottom w:val="nil"/>
              <w:right w:val="nil"/>
            </w:tcBorders>
          </w:tcPr>
          <w:p w14:paraId="357478BA"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(0.0529)</w:t>
            </w:r>
          </w:p>
        </w:tc>
        <w:tc>
          <w:tcPr>
            <w:tcW w:w="1584" w:type="dxa"/>
            <w:tcBorders>
              <w:top w:val="nil"/>
              <w:left w:val="nil"/>
              <w:bottom w:val="nil"/>
              <w:right w:val="nil"/>
            </w:tcBorders>
          </w:tcPr>
          <w:p w14:paraId="504841AC"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(0.111)</w:t>
            </w:r>
          </w:p>
        </w:tc>
        <w:tc>
          <w:tcPr>
            <w:tcW w:w="1584" w:type="dxa"/>
            <w:tcBorders>
              <w:top w:val="nil"/>
              <w:left w:val="nil"/>
              <w:bottom w:val="nil"/>
              <w:right w:val="nil"/>
            </w:tcBorders>
          </w:tcPr>
          <w:p w14:paraId="7F0C55F9"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(0.153)</w:t>
            </w:r>
          </w:p>
        </w:tc>
      </w:tr>
      <w:tr w:rsidR="00AA47AF" w14:paraId="51CE7143" w14:textId="77777777" w:rsidTr="00B30A24">
        <w:trPr>
          <w:jc w:val="center"/>
        </w:trPr>
        <w:tc>
          <w:tcPr>
            <w:tcW w:w="2268" w:type="dxa"/>
            <w:tcBorders>
              <w:top w:val="nil"/>
              <w:left w:val="nil"/>
              <w:bottom w:val="nil"/>
              <w:right w:val="nil"/>
            </w:tcBorders>
          </w:tcPr>
          <w:p w14:paraId="38221025" w14:textId="77777777" w:rsidR="009E18EB" w:rsidRPr="006D47B9" w:rsidRDefault="00DF7D72" w:rsidP="00BE06F5">
            <w:pPr>
              <w:widowControl w:val="0"/>
              <w:autoSpaceDE w:val="0"/>
              <w:autoSpaceDN w:val="0"/>
              <w:adjustRightInd w:val="0"/>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lnTRM×lnETAX</m:t>
                </m:r>
              </m:oMath>
            </m:oMathPara>
          </w:p>
        </w:tc>
        <w:tc>
          <w:tcPr>
            <w:tcW w:w="1584" w:type="dxa"/>
            <w:tcBorders>
              <w:top w:val="nil"/>
              <w:left w:val="nil"/>
              <w:bottom w:val="nil"/>
              <w:right w:val="nil"/>
            </w:tcBorders>
          </w:tcPr>
          <w:p w14:paraId="0DD238CE"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0.0293***</w:t>
            </w:r>
          </w:p>
        </w:tc>
        <w:tc>
          <w:tcPr>
            <w:tcW w:w="1584" w:type="dxa"/>
            <w:tcBorders>
              <w:top w:val="nil"/>
              <w:left w:val="nil"/>
              <w:bottom w:val="nil"/>
              <w:right w:val="nil"/>
            </w:tcBorders>
          </w:tcPr>
          <w:p w14:paraId="54D9F6C0"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0.0985***</w:t>
            </w:r>
          </w:p>
        </w:tc>
        <w:tc>
          <w:tcPr>
            <w:tcW w:w="1584" w:type="dxa"/>
            <w:tcBorders>
              <w:top w:val="nil"/>
              <w:left w:val="nil"/>
              <w:bottom w:val="nil"/>
              <w:right w:val="nil"/>
            </w:tcBorders>
          </w:tcPr>
          <w:p w14:paraId="48DBFB44"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0.0491***</w:t>
            </w:r>
          </w:p>
        </w:tc>
        <w:tc>
          <w:tcPr>
            <w:tcW w:w="1584" w:type="dxa"/>
            <w:tcBorders>
              <w:top w:val="nil"/>
              <w:left w:val="nil"/>
              <w:bottom w:val="nil"/>
              <w:right w:val="nil"/>
            </w:tcBorders>
          </w:tcPr>
          <w:p w14:paraId="3A433F89"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0.0851*</w:t>
            </w:r>
          </w:p>
        </w:tc>
        <w:tc>
          <w:tcPr>
            <w:tcW w:w="1584" w:type="dxa"/>
            <w:tcBorders>
              <w:top w:val="nil"/>
              <w:left w:val="nil"/>
              <w:bottom w:val="nil"/>
              <w:right w:val="nil"/>
            </w:tcBorders>
          </w:tcPr>
          <w:p w14:paraId="40E950D2"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0.0115*</w:t>
            </w:r>
          </w:p>
        </w:tc>
      </w:tr>
      <w:tr w:rsidR="00AA47AF" w14:paraId="5AA5B2F3" w14:textId="77777777" w:rsidTr="00B30A24">
        <w:trPr>
          <w:jc w:val="center"/>
        </w:trPr>
        <w:tc>
          <w:tcPr>
            <w:tcW w:w="2268" w:type="dxa"/>
            <w:tcBorders>
              <w:top w:val="nil"/>
              <w:left w:val="nil"/>
              <w:bottom w:val="nil"/>
              <w:right w:val="nil"/>
            </w:tcBorders>
          </w:tcPr>
          <w:p w14:paraId="77DC0389" w14:textId="77777777" w:rsidR="009E18EB" w:rsidRDefault="009E18EB" w:rsidP="00BE06F5">
            <w:pPr>
              <w:widowControl w:val="0"/>
              <w:autoSpaceDE w:val="0"/>
              <w:autoSpaceDN w:val="0"/>
              <w:adjustRightInd w:val="0"/>
              <w:spacing w:after="0" w:line="240" w:lineRule="auto"/>
              <w:jc w:val="both"/>
              <w:rPr>
                <w:rFonts w:ascii="Times New Roman" w:hAnsi="Times New Roman" w:cs="Times New Roman"/>
                <w:sz w:val="24"/>
                <w:szCs w:val="24"/>
              </w:rPr>
            </w:pPr>
          </w:p>
        </w:tc>
        <w:tc>
          <w:tcPr>
            <w:tcW w:w="1584" w:type="dxa"/>
            <w:tcBorders>
              <w:top w:val="nil"/>
              <w:left w:val="nil"/>
              <w:bottom w:val="nil"/>
              <w:right w:val="nil"/>
            </w:tcBorders>
          </w:tcPr>
          <w:p w14:paraId="4E8083B3"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(0.00816)</w:t>
            </w:r>
          </w:p>
        </w:tc>
        <w:tc>
          <w:tcPr>
            <w:tcW w:w="1584" w:type="dxa"/>
            <w:tcBorders>
              <w:top w:val="nil"/>
              <w:left w:val="nil"/>
              <w:bottom w:val="nil"/>
              <w:right w:val="nil"/>
            </w:tcBorders>
          </w:tcPr>
          <w:p w14:paraId="33493748"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(0.0055)</w:t>
            </w:r>
          </w:p>
        </w:tc>
        <w:tc>
          <w:tcPr>
            <w:tcW w:w="1584" w:type="dxa"/>
            <w:tcBorders>
              <w:top w:val="nil"/>
              <w:left w:val="nil"/>
              <w:bottom w:val="nil"/>
              <w:right w:val="nil"/>
            </w:tcBorders>
          </w:tcPr>
          <w:p w14:paraId="1ADA830D"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(0.0093)</w:t>
            </w:r>
          </w:p>
        </w:tc>
        <w:tc>
          <w:tcPr>
            <w:tcW w:w="1584" w:type="dxa"/>
            <w:tcBorders>
              <w:top w:val="nil"/>
              <w:left w:val="nil"/>
              <w:bottom w:val="nil"/>
              <w:right w:val="nil"/>
            </w:tcBorders>
          </w:tcPr>
          <w:p w14:paraId="4BE23E8C"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(0.00477)</w:t>
            </w:r>
          </w:p>
        </w:tc>
        <w:tc>
          <w:tcPr>
            <w:tcW w:w="1584" w:type="dxa"/>
            <w:tcBorders>
              <w:top w:val="nil"/>
              <w:left w:val="nil"/>
              <w:bottom w:val="nil"/>
              <w:right w:val="nil"/>
            </w:tcBorders>
          </w:tcPr>
          <w:p w14:paraId="41865CDF"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(0.00657)</w:t>
            </w:r>
          </w:p>
        </w:tc>
      </w:tr>
      <w:tr w:rsidR="00AA47AF" w14:paraId="77D79EF3" w14:textId="77777777" w:rsidTr="00B30A24">
        <w:trPr>
          <w:jc w:val="center"/>
        </w:trPr>
        <w:tc>
          <w:tcPr>
            <w:tcW w:w="2268" w:type="dxa"/>
            <w:tcBorders>
              <w:top w:val="nil"/>
              <w:left w:val="nil"/>
              <w:bottom w:val="nil"/>
              <w:right w:val="nil"/>
            </w:tcBorders>
          </w:tcPr>
          <w:p w14:paraId="21CEE940" w14:textId="77777777" w:rsidR="009E18EB" w:rsidRPr="006D47B9" w:rsidRDefault="00DF7D72" w:rsidP="00BE06F5">
            <w:pPr>
              <w:widowControl w:val="0"/>
              <w:autoSpaceDE w:val="0"/>
              <w:autoSpaceDN w:val="0"/>
              <w:adjustRightInd w:val="0"/>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lnGDP</m:t>
                </m:r>
              </m:oMath>
            </m:oMathPara>
          </w:p>
        </w:tc>
        <w:tc>
          <w:tcPr>
            <w:tcW w:w="1584" w:type="dxa"/>
            <w:tcBorders>
              <w:top w:val="nil"/>
              <w:left w:val="nil"/>
              <w:bottom w:val="nil"/>
              <w:right w:val="nil"/>
            </w:tcBorders>
          </w:tcPr>
          <w:p w14:paraId="19D6EEFB"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-0.208***</w:t>
            </w:r>
          </w:p>
        </w:tc>
        <w:tc>
          <w:tcPr>
            <w:tcW w:w="1584" w:type="dxa"/>
            <w:tcBorders>
              <w:top w:val="nil"/>
              <w:left w:val="nil"/>
              <w:bottom w:val="nil"/>
              <w:right w:val="nil"/>
            </w:tcBorders>
          </w:tcPr>
          <w:p w14:paraId="659AC589"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-0.209***</w:t>
            </w:r>
          </w:p>
        </w:tc>
        <w:tc>
          <w:tcPr>
            <w:tcW w:w="1584" w:type="dxa"/>
            <w:tcBorders>
              <w:top w:val="nil"/>
              <w:left w:val="nil"/>
              <w:bottom w:val="nil"/>
              <w:right w:val="nil"/>
            </w:tcBorders>
          </w:tcPr>
          <w:p w14:paraId="7D98F501"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-0.209***</w:t>
            </w:r>
          </w:p>
        </w:tc>
        <w:tc>
          <w:tcPr>
            <w:tcW w:w="1584" w:type="dxa"/>
            <w:tcBorders>
              <w:top w:val="nil"/>
              <w:left w:val="nil"/>
              <w:bottom w:val="nil"/>
              <w:right w:val="nil"/>
            </w:tcBorders>
          </w:tcPr>
          <w:p w14:paraId="6FFC1834"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w:t>
            </w:r>
          </w:p>
        </w:tc>
        <w:tc>
          <w:tcPr>
            <w:tcW w:w="1584" w:type="dxa"/>
            <w:tcBorders>
              <w:top w:val="nil"/>
              <w:left w:val="nil"/>
              <w:bottom w:val="nil"/>
              <w:right w:val="nil"/>
            </w:tcBorders>
          </w:tcPr>
          <w:p w14:paraId="35397203"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-0.211***</w:t>
            </w:r>
          </w:p>
        </w:tc>
      </w:tr>
      <w:tr w:rsidR="00AA47AF" w14:paraId="1C57F7ED" w14:textId="77777777" w:rsidTr="00B30A24">
        <w:trPr>
          <w:jc w:val="center"/>
        </w:trPr>
        <w:tc>
          <w:tcPr>
            <w:tcW w:w="2268" w:type="dxa"/>
            <w:tcBorders>
              <w:top w:val="nil"/>
              <w:left w:val="nil"/>
              <w:bottom w:val="nil"/>
              <w:right w:val="nil"/>
            </w:tcBorders>
          </w:tcPr>
          <w:p w14:paraId="25F9C385" w14:textId="77777777" w:rsidR="009E18EB" w:rsidRDefault="009E18EB" w:rsidP="00BE06F5">
            <w:pPr>
              <w:widowControl w:val="0"/>
              <w:autoSpaceDE w:val="0"/>
              <w:autoSpaceDN w:val="0"/>
              <w:adjustRightInd w:val="0"/>
              <w:spacing w:after="0" w:line="240" w:lineRule="auto"/>
              <w:jc w:val="both"/>
              <w:rPr>
                <w:rFonts w:ascii="Times New Roman" w:hAnsi="Times New Roman" w:cs="Times New Roman"/>
                <w:sz w:val="24"/>
                <w:szCs w:val="24"/>
              </w:rPr>
            </w:pPr>
          </w:p>
        </w:tc>
        <w:tc>
          <w:tcPr>
            <w:tcW w:w="1584" w:type="dxa"/>
            <w:tcBorders>
              <w:top w:val="nil"/>
              <w:left w:val="nil"/>
              <w:bottom w:val="nil"/>
              <w:right w:val="nil"/>
            </w:tcBorders>
          </w:tcPr>
          <w:p w14:paraId="79CE86E0"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(0.0729)</w:t>
            </w:r>
          </w:p>
        </w:tc>
        <w:tc>
          <w:tcPr>
            <w:tcW w:w="1584" w:type="dxa"/>
            <w:tcBorders>
              <w:top w:val="nil"/>
              <w:left w:val="nil"/>
              <w:bottom w:val="nil"/>
              <w:right w:val="nil"/>
            </w:tcBorders>
          </w:tcPr>
          <w:p w14:paraId="03193D1C"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(0.0487)</w:t>
            </w:r>
          </w:p>
        </w:tc>
        <w:tc>
          <w:tcPr>
            <w:tcW w:w="1584" w:type="dxa"/>
            <w:tcBorders>
              <w:top w:val="nil"/>
              <w:left w:val="nil"/>
              <w:bottom w:val="nil"/>
              <w:right w:val="nil"/>
            </w:tcBorders>
          </w:tcPr>
          <w:p w14:paraId="7A4A06DA"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(0.0353)</w:t>
            </w:r>
          </w:p>
        </w:tc>
        <w:tc>
          <w:tcPr>
            <w:tcW w:w="1584" w:type="dxa"/>
            <w:tcBorders>
              <w:top w:val="nil"/>
              <w:left w:val="nil"/>
              <w:bottom w:val="nil"/>
              <w:right w:val="nil"/>
            </w:tcBorders>
          </w:tcPr>
          <w:p w14:paraId="04F5D56F"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(0.0426)</w:t>
            </w:r>
          </w:p>
        </w:tc>
        <w:tc>
          <w:tcPr>
            <w:tcW w:w="1584" w:type="dxa"/>
            <w:tcBorders>
              <w:top w:val="nil"/>
              <w:left w:val="nil"/>
              <w:bottom w:val="nil"/>
              <w:right w:val="nil"/>
            </w:tcBorders>
          </w:tcPr>
          <w:p w14:paraId="6609ADA8"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(0.0589)</w:t>
            </w:r>
          </w:p>
        </w:tc>
      </w:tr>
      <w:tr w:rsidR="00AA47AF" w14:paraId="1DA4DEC1" w14:textId="77777777" w:rsidTr="00B30A24">
        <w:trPr>
          <w:jc w:val="center"/>
        </w:trPr>
        <w:tc>
          <w:tcPr>
            <w:tcW w:w="2268" w:type="dxa"/>
            <w:tcBorders>
              <w:top w:val="nil"/>
              <w:left w:val="nil"/>
              <w:bottom w:val="nil"/>
              <w:right w:val="nil"/>
            </w:tcBorders>
          </w:tcPr>
          <w:p w14:paraId="75CEF62B" w14:textId="77777777" w:rsidR="009E18EB" w:rsidRPr="006D47B9" w:rsidRDefault="00DF7D72" w:rsidP="00BE06F5">
            <w:pPr>
              <w:widowControl w:val="0"/>
              <w:autoSpaceDE w:val="0"/>
              <w:autoSpaceDN w:val="0"/>
              <w:adjustRightInd w:val="0"/>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R&amp;D</m:t>
                </m:r>
              </m:oMath>
            </m:oMathPara>
          </w:p>
        </w:tc>
        <w:tc>
          <w:tcPr>
            <w:tcW w:w="1584" w:type="dxa"/>
            <w:tcBorders>
              <w:top w:val="nil"/>
              <w:left w:val="nil"/>
              <w:bottom w:val="nil"/>
              <w:right w:val="nil"/>
            </w:tcBorders>
          </w:tcPr>
          <w:p w14:paraId="1FC6BCDE"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0.0138***</w:t>
            </w:r>
          </w:p>
        </w:tc>
        <w:tc>
          <w:tcPr>
            <w:tcW w:w="1584" w:type="dxa"/>
            <w:tcBorders>
              <w:top w:val="nil"/>
              <w:left w:val="nil"/>
              <w:bottom w:val="nil"/>
              <w:right w:val="nil"/>
            </w:tcBorders>
          </w:tcPr>
          <w:p w14:paraId="26486432"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0.0548***</w:t>
            </w:r>
          </w:p>
        </w:tc>
        <w:tc>
          <w:tcPr>
            <w:tcW w:w="1584" w:type="dxa"/>
            <w:tcBorders>
              <w:top w:val="nil"/>
              <w:left w:val="nil"/>
              <w:bottom w:val="nil"/>
              <w:right w:val="nil"/>
            </w:tcBorders>
          </w:tcPr>
          <w:p w14:paraId="423899F2"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0.0960***</w:t>
            </w:r>
          </w:p>
        </w:tc>
        <w:tc>
          <w:tcPr>
            <w:tcW w:w="1584" w:type="dxa"/>
            <w:tcBorders>
              <w:top w:val="nil"/>
              <w:left w:val="nil"/>
              <w:bottom w:val="nil"/>
              <w:right w:val="nil"/>
            </w:tcBorders>
          </w:tcPr>
          <w:p w14:paraId="1076B335"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0.0134</w:t>
            </w:r>
          </w:p>
        </w:tc>
        <w:tc>
          <w:tcPr>
            <w:tcW w:w="1584" w:type="dxa"/>
            <w:tcBorders>
              <w:top w:val="nil"/>
              <w:left w:val="nil"/>
              <w:bottom w:val="nil"/>
              <w:right w:val="nil"/>
            </w:tcBorders>
          </w:tcPr>
          <w:p w14:paraId="34C5A703"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0.0165</w:t>
            </w:r>
          </w:p>
        </w:tc>
      </w:tr>
      <w:tr w:rsidR="00AA47AF" w14:paraId="2FAE69A9" w14:textId="77777777" w:rsidTr="00B30A24">
        <w:trPr>
          <w:jc w:val="center"/>
        </w:trPr>
        <w:tc>
          <w:tcPr>
            <w:tcW w:w="2268" w:type="dxa"/>
            <w:tcBorders>
              <w:top w:val="nil"/>
              <w:left w:val="nil"/>
              <w:bottom w:val="nil"/>
              <w:right w:val="nil"/>
            </w:tcBorders>
          </w:tcPr>
          <w:p w14:paraId="59026296" w14:textId="77777777" w:rsidR="009E18EB" w:rsidRDefault="009E18EB" w:rsidP="00BE06F5">
            <w:pPr>
              <w:widowControl w:val="0"/>
              <w:autoSpaceDE w:val="0"/>
              <w:autoSpaceDN w:val="0"/>
              <w:adjustRightInd w:val="0"/>
              <w:spacing w:after="0" w:line="240" w:lineRule="auto"/>
              <w:jc w:val="both"/>
              <w:rPr>
                <w:rFonts w:ascii="Times New Roman" w:hAnsi="Times New Roman" w:cs="Times New Roman"/>
                <w:sz w:val="24"/>
                <w:szCs w:val="24"/>
              </w:rPr>
            </w:pPr>
          </w:p>
        </w:tc>
        <w:tc>
          <w:tcPr>
            <w:tcW w:w="1584" w:type="dxa"/>
            <w:tcBorders>
              <w:top w:val="nil"/>
              <w:left w:val="nil"/>
              <w:bottom w:val="nil"/>
              <w:right w:val="nil"/>
            </w:tcBorders>
          </w:tcPr>
          <w:p w14:paraId="4B8CF17A"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(0.0026)</w:t>
            </w:r>
          </w:p>
        </w:tc>
        <w:tc>
          <w:tcPr>
            <w:tcW w:w="1584" w:type="dxa"/>
            <w:tcBorders>
              <w:top w:val="nil"/>
              <w:left w:val="nil"/>
              <w:bottom w:val="nil"/>
              <w:right w:val="nil"/>
            </w:tcBorders>
          </w:tcPr>
          <w:p w14:paraId="7918BF1E"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(0.0173)</w:t>
            </w:r>
          </w:p>
        </w:tc>
        <w:tc>
          <w:tcPr>
            <w:tcW w:w="1584" w:type="dxa"/>
            <w:tcBorders>
              <w:top w:val="nil"/>
              <w:left w:val="nil"/>
              <w:bottom w:val="nil"/>
              <w:right w:val="nil"/>
            </w:tcBorders>
          </w:tcPr>
          <w:p w14:paraId="4568CE05"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(0.0125)</w:t>
            </w:r>
          </w:p>
        </w:tc>
        <w:tc>
          <w:tcPr>
            <w:tcW w:w="1584" w:type="dxa"/>
            <w:tcBorders>
              <w:top w:val="nil"/>
              <w:left w:val="nil"/>
              <w:bottom w:val="nil"/>
              <w:right w:val="nil"/>
            </w:tcBorders>
          </w:tcPr>
          <w:p w14:paraId="60B473DA"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(0.0153)</w:t>
            </w:r>
          </w:p>
        </w:tc>
        <w:tc>
          <w:tcPr>
            <w:tcW w:w="1584" w:type="dxa"/>
            <w:tcBorders>
              <w:top w:val="nil"/>
              <w:left w:val="nil"/>
              <w:bottom w:val="nil"/>
              <w:right w:val="nil"/>
            </w:tcBorders>
          </w:tcPr>
          <w:p w14:paraId="05CD4A77"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(0.0209)</w:t>
            </w:r>
          </w:p>
        </w:tc>
      </w:tr>
      <w:tr w:rsidR="00AA47AF" w14:paraId="52D15454" w14:textId="77777777" w:rsidTr="00B30A24">
        <w:trPr>
          <w:jc w:val="center"/>
        </w:trPr>
        <w:tc>
          <w:tcPr>
            <w:tcW w:w="2268" w:type="dxa"/>
            <w:tcBorders>
              <w:top w:val="nil"/>
              <w:left w:val="nil"/>
              <w:bottom w:val="nil"/>
              <w:right w:val="nil"/>
            </w:tcBorders>
          </w:tcPr>
          <w:p w14:paraId="5118353C" w14:textId="77777777" w:rsidR="009E18EB" w:rsidRPr="006D47B9" w:rsidRDefault="00DF7D72" w:rsidP="00BE06F5">
            <w:pPr>
              <w:widowControl w:val="0"/>
              <w:autoSpaceDE w:val="0"/>
              <w:autoSpaceDN w:val="0"/>
              <w:adjustRightInd w:val="0"/>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REN</m:t>
                </m:r>
              </m:oMath>
            </m:oMathPara>
          </w:p>
        </w:tc>
        <w:tc>
          <w:tcPr>
            <w:tcW w:w="1584" w:type="dxa"/>
            <w:tcBorders>
              <w:top w:val="nil"/>
              <w:left w:val="nil"/>
              <w:bottom w:val="nil"/>
              <w:right w:val="nil"/>
            </w:tcBorders>
          </w:tcPr>
          <w:p w14:paraId="28BF2B85"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0.0234***</w:t>
            </w:r>
          </w:p>
        </w:tc>
        <w:tc>
          <w:tcPr>
            <w:tcW w:w="1584" w:type="dxa"/>
            <w:tcBorders>
              <w:top w:val="nil"/>
              <w:left w:val="nil"/>
              <w:bottom w:val="nil"/>
              <w:right w:val="nil"/>
            </w:tcBorders>
          </w:tcPr>
          <w:p w14:paraId="48F5564C"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0.0230***</w:t>
            </w:r>
          </w:p>
        </w:tc>
        <w:tc>
          <w:tcPr>
            <w:tcW w:w="1584" w:type="dxa"/>
            <w:tcBorders>
              <w:top w:val="nil"/>
              <w:left w:val="nil"/>
              <w:bottom w:val="nil"/>
              <w:right w:val="nil"/>
            </w:tcBorders>
          </w:tcPr>
          <w:p w14:paraId="06FC784E"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0.0226***</w:t>
            </w:r>
          </w:p>
        </w:tc>
        <w:tc>
          <w:tcPr>
            <w:tcW w:w="1584" w:type="dxa"/>
            <w:tcBorders>
              <w:top w:val="nil"/>
              <w:left w:val="nil"/>
              <w:bottom w:val="nil"/>
              <w:right w:val="nil"/>
            </w:tcBorders>
          </w:tcPr>
          <w:p w14:paraId="1EA001E2"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-0.0223***</w:t>
            </w:r>
          </w:p>
        </w:tc>
        <w:tc>
          <w:tcPr>
            <w:tcW w:w="1584" w:type="dxa"/>
            <w:tcBorders>
              <w:top w:val="nil"/>
              <w:left w:val="nil"/>
              <w:bottom w:val="nil"/>
              <w:right w:val="nil"/>
            </w:tcBorders>
          </w:tcPr>
          <w:p w14:paraId="7B7501C1"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-0.0220***</w:t>
            </w:r>
          </w:p>
        </w:tc>
      </w:tr>
      <w:tr w:rsidR="00AA47AF" w14:paraId="5DF7B626" w14:textId="77777777" w:rsidTr="00B30A24">
        <w:trPr>
          <w:jc w:val="center"/>
        </w:trPr>
        <w:tc>
          <w:tcPr>
            <w:tcW w:w="2268" w:type="dxa"/>
            <w:tcBorders>
              <w:top w:val="nil"/>
              <w:left w:val="nil"/>
              <w:bottom w:val="nil"/>
              <w:right w:val="nil"/>
            </w:tcBorders>
          </w:tcPr>
          <w:p w14:paraId="439D073D" w14:textId="77777777" w:rsidR="009E18EB" w:rsidRDefault="009E18EB" w:rsidP="00BE06F5">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14:paraId="7A2B7823"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(0.00154)</w:t>
            </w:r>
          </w:p>
        </w:tc>
        <w:tc>
          <w:tcPr>
            <w:tcW w:w="1584" w:type="dxa"/>
            <w:tcBorders>
              <w:top w:val="nil"/>
              <w:left w:val="nil"/>
              <w:bottom w:val="nil"/>
              <w:right w:val="nil"/>
            </w:tcBorders>
          </w:tcPr>
          <w:p w14:paraId="70ACD3C4"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(0.00103)</w:t>
            </w:r>
          </w:p>
        </w:tc>
        <w:tc>
          <w:tcPr>
            <w:tcW w:w="1584" w:type="dxa"/>
            <w:tcBorders>
              <w:top w:val="nil"/>
              <w:left w:val="nil"/>
              <w:bottom w:val="nil"/>
              <w:right w:val="nil"/>
            </w:tcBorders>
          </w:tcPr>
          <w:p w14:paraId="31450C8D"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(0.000748)</w:t>
            </w:r>
          </w:p>
        </w:tc>
        <w:tc>
          <w:tcPr>
            <w:tcW w:w="1584" w:type="dxa"/>
            <w:tcBorders>
              <w:top w:val="nil"/>
              <w:left w:val="nil"/>
              <w:bottom w:val="nil"/>
              <w:right w:val="nil"/>
            </w:tcBorders>
          </w:tcPr>
          <w:p w14:paraId="40FF4AEC"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(0.000902)</w:t>
            </w:r>
          </w:p>
        </w:tc>
        <w:tc>
          <w:tcPr>
            <w:tcW w:w="1584" w:type="dxa"/>
            <w:tcBorders>
              <w:top w:val="nil"/>
              <w:left w:val="nil"/>
              <w:bottom w:val="nil"/>
              <w:right w:val="nil"/>
            </w:tcBorders>
          </w:tcPr>
          <w:p w14:paraId="1CEA2770"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(0.00125)</w:t>
            </w:r>
          </w:p>
        </w:tc>
      </w:tr>
      <w:tr w:rsidR="00AA47AF" w14:paraId="4026F481" w14:textId="77777777" w:rsidTr="00B30A24">
        <w:trPr>
          <w:jc w:val="center"/>
        </w:trPr>
        <w:tc>
          <w:tcPr>
            <w:tcW w:w="2268" w:type="dxa"/>
            <w:tcBorders>
              <w:top w:val="nil"/>
              <w:left w:val="nil"/>
              <w:bottom w:val="nil"/>
              <w:right w:val="nil"/>
            </w:tcBorders>
          </w:tcPr>
          <w:p w14:paraId="0313AE12" w14:textId="77777777" w:rsidR="009E18EB" w:rsidRDefault="009E18EB" w:rsidP="00BE06F5">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14:paraId="250988FC" w14:textId="77777777" w:rsidR="009E18EB" w:rsidRDefault="009E18EB" w:rsidP="00BE06F5">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14:paraId="79D8F7F9" w14:textId="77777777" w:rsidR="009E18EB" w:rsidRDefault="009E18EB" w:rsidP="00BE06F5">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14:paraId="13AE06CB" w14:textId="77777777" w:rsidR="009E18EB" w:rsidRDefault="009E18EB" w:rsidP="00BE06F5">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14:paraId="16474CA0" w14:textId="77777777" w:rsidR="009E18EB" w:rsidRDefault="009E18EB" w:rsidP="00BE06F5">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14:paraId="4853566A" w14:textId="77777777" w:rsidR="009E18EB" w:rsidRDefault="009E18EB" w:rsidP="00BE06F5">
            <w:pPr>
              <w:widowControl w:val="0"/>
              <w:autoSpaceDE w:val="0"/>
              <w:autoSpaceDN w:val="0"/>
              <w:adjustRightInd w:val="0"/>
              <w:spacing w:after="0" w:line="240" w:lineRule="auto"/>
              <w:jc w:val="center"/>
              <w:rPr>
                <w:rFonts w:ascii="Times New Roman" w:hAnsi="Times New Roman" w:cs="Times New Roman"/>
                <w:sz w:val="24"/>
                <w:szCs w:val="24"/>
              </w:rPr>
            </w:pPr>
          </w:p>
        </w:tc>
      </w:tr>
      <w:tr w:rsidR="00AA47AF" w14:paraId="331D7DB5" w14:textId="77777777" w:rsidTr="00B30A24">
        <w:tblPrEx>
          <w:tblBorders>
            <w:bottom w:val="single" w:sz="6" w:space="0" w:color="auto"/>
          </w:tblBorders>
        </w:tblPrEx>
        <w:trPr>
          <w:jc w:val="center"/>
        </w:trPr>
        <w:tc>
          <w:tcPr>
            <w:tcW w:w="2268" w:type="dxa"/>
            <w:tcBorders>
              <w:top w:val="nil"/>
              <w:left w:val="nil"/>
              <w:bottom w:val="single" w:sz="6" w:space="0" w:color="auto"/>
              <w:right w:val="nil"/>
            </w:tcBorders>
          </w:tcPr>
          <w:p w14:paraId="317EC418" w14:textId="77777777" w:rsidR="009E18EB" w:rsidRDefault="00DF7D72" w:rsidP="00BE06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584" w:type="dxa"/>
            <w:tcBorders>
              <w:top w:val="nil"/>
              <w:left w:val="nil"/>
              <w:bottom w:val="single" w:sz="6" w:space="0" w:color="auto"/>
              <w:right w:val="nil"/>
            </w:tcBorders>
          </w:tcPr>
          <w:p w14:paraId="67358E47"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c>
          <w:tcPr>
            <w:tcW w:w="1584" w:type="dxa"/>
            <w:tcBorders>
              <w:top w:val="nil"/>
              <w:left w:val="nil"/>
              <w:bottom w:val="single" w:sz="6" w:space="0" w:color="auto"/>
              <w:right w:val="nil"/>
            </w:tcBorders>
          </w:tcPr>
          <w:p w14:paraId="0CA03787"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c>
          <w:tcPr>
            <w:tcW w:w="1584" w:type="dxa"/>
            <w:tcBorders>
              <w:top w:val="nil"/>
              <w:left w:val="nil"/>
              <w:bottom w:val="single" w:sz="6" w:space="0" w:color="auto"/>
              <w:right w:val="nil"/>
            </w:tcBorders>
          </w:tcPr>
          <w:p w14:paraId="797EE193"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c>
          <w:tcPr>
            <w:tcW w:w="1584" w:type="dxa"/>
            <w:tcBorders>
              <w:top w:val="nil"/>
              <w:left w:val="nil"/>
              <w:bottom w:val="single" w:sz="6" w:space="0" w:color="auto"/>
              <w:right w:val="nil"/>
            </w:tcBorders>
          </w:tcPr>
          <w:p w14:paraId="13A0B2B3"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c>
          <w:tcPr>
            <w:tcW w:w="1584" w:type="dxa"/>
            <w:tcBorders>
              <w:top w:val="nil"/>
              <w:left w:val="nil"/>
              <w:bottom w:val="single" w:sz="6" w:space="0" w:color="auto"/>
              <w:right w:val="nil"/>
            </w:tcBorders>
          </w:tcPr>
          <w:p w14:paraId="16F43EE4"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r>
    </w:tbl>
    <w:p w14:paraId="0D6C4A2B"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14:paraId="0E661D0E" w14:textId="77777777" w:rsidR="009E18EB" w:rsidRDefault="00DF7D72" w:rsidP="00BE06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w:t>
      </w:r>
    </w:p>
    <w:p w14:paraId="7E7555DC" w14:textId="77777777" w:rsidR="00B30A24" w:rsidRDefault="00B30A24" w:rsidP="00BE06F5">
      <w:pPr>
        <w:spacing w:line="240" w:lineRule="auto"/>
      </w:pPr>
    </w:p>
    <w:p w14:paraId="766BC677" w14:textId="77777777" w:rsidR="00B30A24" w:rsidRDefault="00B30A24" w:rsidP="00BE06F5">
      <w:pPr>
        <w:spacing w:line="240" w:lineRule="auto"/>
      </w:pPr>
    </w:p>
    <w:sectPr w:rsidR="00B30A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790C" w14:textId="77777777" w:rsidR="006E6A1B" w:rsidRDefault="006E6A1B">
      <w:pPr>
        <w:spacing w:after="0" w:line="240" w:lineRule="auto"/>
      </w:pPr>
      <w:r>
        <w:separator/>
      </w:r>
    </w:p>
  </w:endnote>
  <w:endnote w:type="continuationSeparator" w:id="0">
    <w:p w14:paraId="43A73A2B" w14:textId="77777777" w:rsidR="006E6A1B" w:rsidRDefault="006E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is SIL">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TIX-Regular">
    <w:altName w:val="MS Mincho"/>
    <w:panose1 w:val="00000000000000000000"/>
    <w:charset w:val="80"/>
    <w:family w:val="roman"/>
    <w:notTrueType/>
    <w:pitch w:val="default"/>
    <w:sig w:usb0="00000001" w:usb1="08070000" w:usb2="00000010" w:usb3="00000000" w:csb0="00020000" w:csb1="00000000"/>
  </w:font>
  <w:font w:name="AdvOT46dcae81">
    <w:altName w:val="Calibri"/>
    <w:panose1 w:val="00000000000000000000"/>
    <w:charset w:val="00"/>
    <w:family w:val="swiss"/>
    <w:notTrueType/>
    <w:pitch w:val="default"/>
    <w:sig w:usb0="00000003" w:usb1="00000000" w:usb2="00000000" w:usb3="00000000" w:csb0="00000001" w:csb1="00000000"/>
  </w:font>
  <w:font w:name="AdvOT5fcf1b24">
    <w:altName w:val="Calibri"/>
    <w:panose1 w:val="00000000000000000000"/>
    <w:charset w:val="00"/>
    <w:family w:val="swiss"/>
    <w:notTrueType/>
    <w:pitch w:val="default"/>
    <w:sig w:usb0="00000003" w:usb1="00000000" w:usb2="00000000" w:usb3="00000000" w:csb0="00000001" w:csb1="00000000"/>
  </w:font>
  <w:font w:name="AdvOT1ef757c0">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fpqjdAdvTT99c4c969">
    <w:altName w:val="Calibri"/>
    <w:panose1 w:val="00000000000000000000"/>
    <w:charset w:val="00"/>
    <w:family w:val="swiss"/>
    <w:notTrueType/>
    <w:pitch w:val="default"/>
    <w:sig w:usb0="00000003" w:usb1="00000000" w:usb2="00000000" w:usb3="00000000" w:csb0="00000001" w:csb1="00000000"/>
  </w:font>
  <w:font w:name="CharisSIL">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342030"/>
      <w:docPartObj>
        <w:docPartGallery w:val="Page Numbers (Bottom of Page)"/>
        <w:docPartUnique/>
      </w:docPartObj>
    </w:sdtPr>
    <w:sdtEndPr>
      <w:rPr>
        <w:noProof/>
      </w:rPr>
    </w:sdtEndPr>
    <w:sdtContent>
      <w:p w14:paraId="25E04661" w14:textId="77777777" w:rsidR="00170CC9" w:rsidRDefault="00170CC9">
        <w:pPr>
          <w:pStyle w:val="Bunntekst"/>
          <w:jc w:val="center"/>
        </w:pPr>
        <w:r>
          <w:fldChar w:fldCharType="begin"/>
        </w:r>
        <w:r>
          <w:instrText xml:space="preserve"> PAGE   \* MERGEFORMAT </w:instrText>
        </w:r>
        <w:r>
          <w:fldChar w:fldCharType="separate"/>
        </w:r>
        <w:r w:rsidR="004C60EB">
          <w:rPr>
            <w:noProof/>
          </w:rPr>
          <w:t>16</w:t>
        </w:r>
        <w:r>
          <w:rPr>
            <w:noProof/>
          </w:rPr>
          <w:fldChar w:fldCharType="end"/>
        </w:r>
      </w:p>
    </w:sdtContent>
  </w:sdt>
  <w:p w14:paraId="27F8CEE8" w14:textId="77777777" w:rsidR="00170CC9" w:rsidRDefault="00170CC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3530" w14:textId="77777777" w:rsidR="006E6A1B" w:rsidRDefault="006E6A1B" w:rsidP="00EC1C77">
      <w:pPr>
        <w:spacing w:after="0" w:line="240" w:lineRule="auto"/>
      </w:pPr>
      <w:r>
        <w:separator/>
      </w:r>
    </w:p>
  </w:footnote>
  <w:footnote w:type="continuationSeparator" w:id="0">
    <w:p w14:paraId="1EB4CAF2" w14:textId="77777777" w:rsidR="006E6A1B" w:rsidRDefault="006E6A1B" w:rsidP="00EC1C77">
      <w:pPr>
        <w:spacing w:after="0" w:line="240" w:lineRule="auto"/>
      </w:pPr>
      <w:r>
        <w:continuationSeparator/>
      </w:r>
    </w:p>
  </w:footnote>
  <w:footnote w:id="1">
    <w:p w14:paraId="04705955" w14:textId="77777777" w:rsidR="00B87488" w:rsidRPr="00C8489E" w:rsidRDefault="00B87488" w:rsidP="00EC1C77">
      <w:pPr>
        <w:pStyle w:val="Fotnotetekst"/>
        <w:jc w:val="both"/>
        <w:rPr>
          <w:rFonts w:ascii="Times New Roman" w:hAnsi="Times New Roman" w:cs="Times New Roman"/>
          <w:sz w:val="24"/>
          <w:szCs w:val="24"/>
        </w:rPr>
      </w:pPr>
      <w:r w:rsidRPr="00C8489E">
        <w:rPr>
          <w:rStyle w:val="Fotnotereferanse"/>
          <w:rFonts w:ascii="Times New Roman" w:hAnsi="Times New Roman" w:cs="Times New Roman"/>
          <w:sz w:val="24"/>
          <w:szCs w:val="24"/>
        </w:rPr>
        <w:footnoteRef/>
      </w:r>
      <w:r w:rsidRPr="00C8489E">
        <w:rPr>
          <w:rFonts w:ascii="Times New Roman" w:hAnsi="Times New Roman" w:cs="Times New Roman"/>
          <w:sz w:val="24"/>
          <w:szCs w:val="24"/>
        </w:rPr>
        <w:t xml:space="preserve"> </w:t>
      </w:r>
      <w:r w:rsidRPr="00C8489E">
        <w:rPr>
          <w:rFonts w:ascii="Times New Roman" w:hAnsi="Times New Roman" w:cs="Times New Roman"/>
        </w:rPr>
        <w:t>The threshold model advanced by Hansen (2000) minimizes the residual sum of squares by making use of the grid search procedure. This is because the parameter</w:t>
      </w:r>
      <w:r>
        <w:rPr>
          <w:rFonts w:ascii="Times New Roman" w:hAnsi="Times New Roman" w:cs="Times New Roman"/>
          <w:position w:val="-10"/>
        </w:rPr>
        <w:object w:dxaOrig="195" w:dyaOrig="255" w14:anchorId="0DB53350">
          <v:shape id="_x0000_i1069" type="#_x0000_t75" style="width:9.75pt;height:12.75pt" o:ole="">
            <v:imagedata r:id="rId1" o:title=""/>
          </v:shape>
          <o:OLEObject Type="Embed" ProgID="Equation.DSMT4" ShapeID="_x0000_i1069" DrawAspect="Content" ObjectID="_1770110329" r:id="rId2"/>
        </w:object>
      </w:r>
      <w:r w:rsidRPr="00C8489E">
        <w:rPr>
          <w:rFonts w:ascii="Times New Roman" w:hAnsi="Times New Roman" w:cs="Times New Roman"/>
        </w:rPr>
        <w:t xml:space="preserve"> is not known.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91401"/>
    <w:multiLevelType w:val="hybridMultilevel"/>
    <w:tmpl w:val="8CA4DF1A"/>
    <w:lvl w:ilvl="0" w:tplc="AD46CC1A">
      <w:start w:val="3"/>
      <w:numFmt w:val="bullet"/>
      <w:lvlText w:val="-"/>
      <w:lvlJc w:val="left"/>
      <w:pPr>
        <w:ind w:left="720" w:hanging="360"/>
      </w:pPr>
      <w:rPr>
        <w:rFonts w:ascii="Times New Roman" w:eastAsiaTheme="minorHAnsi" w:hAnsi="Times New Roman" w:cs="Times New Roman" w:hint="default"/>
        <w:b w:val="0"/>
      </w:rPr>
    </w:lvl>
    <w:lvl w:ilvl="1" w:tplc="7DB61DA6">
      <w:start w:val="1"/>
      <w:numFmt w:val="bullet"/>
      <w:lvlText w:val="o"/>
      <w:lvlJc w:val="left"/>
      <w:pPr>
        <w:ind w:left="1440" w:hanging="360"/>
      </w:pPr>
      <w:rPr>
        <w:rFonts w:ascii="Courier New" w:hAnsi="Courier New" w:cs="Courier New" w:hint="default"/>
      </w:rPr>
    </w:lvl>
    <w:lvl w:ilvl="2" w:tplc="C05AB67E">
      <w:start w:val="1"/>
      <w:numFmt w:val="bullet"/>
      <w:lvlText w:val=""/>
      <w:lvlJc w:val="left"/>
      <w:pPr>
        <w:ind w:left="2160" w:hanging="360"/>
      </w:pPr>
      <w:rPr>
        <w:rFonts w:ascii="Wingdings" w:hAnsi="Wingdings" w:hint="default"/>
      </w:rPr>
    </w:lvl>
    <w:lvl w:ilvl="3" w:tplc="AE240D3E">
      <w:start w:val="1"/>
      <w:numFmt w:val="bullet"/>
      <w:lvlText w:val=""/>
      <w:lvlJc w:val="left"/>
      <w:pPr>
        <w:ind w:left="2880" w:hanging="360"/>
      </w:pPr>
      <w:rPr>
        <w:rFonts w:ascii="Symbol" w:hAnsi="Symbol" w:hint="default"/>
      </w:rPr>
    </w:lvl>
    <w:lvl w:ilvl="4" w:tplc="89643050">
      <w:start w:val="1"/>
      <w:numFmt w:val="bullet"/>
      <w:lvlText w:val="o"/>
      <w:lvlJc w:val="left"/>
      <w:pPr>
        <w:ind w:left="3600" w:hanging="360"/>
      </w:pPr>
      <w:rPr>
        <w:rFonts w:ascii="Courier New" w:hAnsi="Courier New" w:cs="Courier New" w:hint="default"/>
      </w:rPr>
    </w:lvl>
    <w:lvl w:ilvl="5" w:tplc="C3760BB4">
      <w:start w:val="1"/>
      <w:numFmt w:val="bullet"/>
      <w:lvlText w:val=""/>
      <w:lvlJc w:val="left"/>
      <w:pPr>
        <w:ind w:left="4320" w:hanging="360"/>
      </w:pPr>
      <w:rPr>
        <w:rFonts w:ascii="Wingdings" w:hAnsi="Wingdings" w:hint="default"/>
      </w:rPr>
    </w:lvl>
    <w:lvl w:ilvl="6" w:tplc="6C36B712">
      <w:start w:val="1"/>
      <w:numFmt w:val="bullet"/>
      <w:lvlText w:val=""/>
      <w:lvlJc w:val="left"/>
      <w:pPr>
        <w:ind w:left="5040" w:hanging="360"/>
      </w:pPr>
      <w:rPr>
        <w:rFonts w:ascii="Symbol" w:hAnsi="Symbol" w:hint="default"/>
      </w:rPr>
    </w:lvl>
    <w:lvl w:ilvl="7" w:tplc="C1F6B3E4">
      <w:start w:val="1"/>
      <w:numFmt w:val="bullet"/>
      <w:lvlText w:val="o"/>
      <w:lvlJc w:val="left"/>
      <w:pPr>
        <w:ind w:left="5760" w:hanging="360"/>
      </w:pPr>
      <w:rPr>
        <w:rFonts w:ascii="Courier New" w:hAnsi="Courier New" w:cs="Courier New" w:hint="default"/>
      </w:rPr>
    </w:lvl>
    <w:lvl w:ilvl="8" w:tplc="D84EE5F6">
      <w:start w:val="1"/>
      <w:numFmt w:val="bullet"/>
      <w:lvlText w:val=""/>
      <w:lvlJc w:val="left"/>
      <w:pPr>
        <w:ind w:left="6480" w:hanging="360"/>
      </w:pPr>
      <w:rPr>
        <w:rFonts w:ascii="Wingdings" w:hAnsi="Wingdings" w:hint="default"/>
      </w:rPr>
    </w:lvl>
  </w:abstractNum>
  <w:abstractNum w:abstractNumId="1" w15:restartNumberingAfterBreak="0">
    <w:nsid w:val="2C240C16"/>
    <w:multiLevelType w:val="hybridMultilevel"/>
    <w:tmpl w:val="E376E34A"/>
    <w:lvl w:ilvl="0" w:tplc="484E25C2">
      <w:start w:val="1"/>
      <w:numFmt w:val="decimal"/>
      <w:lvlText w:val="%1."/>
      <w:lvlJc w:val="left"/>
      <w:pPr>
        <w:ind w:left="720" w:hanging="360"/>
      </w:pPr>
      <w:rPr>
        <w:rFonts w:hint="default"/>
      </w:rPr>
    </w:lvl>
    <w:lvl w:ilvl="1" w:tplc="03A66EA8" w:tentative="1">
      <w:start w:val="1"/>
      <w:numFmt w:val="lowerLetter"/>
      <w:lvlText w:val="%2."/>
      <w:lvlJc w:val="left"/>
      <w:pPr>
        <w:ind w:left="1440" w:hanging="360"/>
      </w:pPr>
    </w:lvl>
    <w:lvl w:ilvl="2" w:tplc="87CE5D50" w:tentative="1">
      <w:start w:val="1"/>
      <w:numFmt w:val="lowerRoman"/>
      <w:lvlText w:val="%3."/>
      <w:lvlJc w:val="right"/>
      <w:pPr>
        <w:ind w:left="2160" w:hanging="180"/>
      </w:pPr>
    </w:lvl>
    <w:lvl w:ilvl="3" w:tplc="2A460B1E" w:tentative="1">
      <w:start w:val="1"/>
      <w:numFmt w:val="decimal"/>
      <w:lvlText w:val="%4."/>
      <w:lvlJc w:val="left"/>
      <w:pPr>
        <w:ind w:left="2880" w:hanging="360"/>
      </w:pPr>
    </w:lvl>
    <w:lvl w:ilvl="4" w:tplc="DE68ED4C" w:tentative="1">
      <w:start w:val="1"/>
      <w:numFmt w:val="lowerLetter"/>
      <w:lvlText w:val="%5."/>
      <w:lvlJc w:val="left"/>
      <w:pPr>
        <w:ind w:left="3600" w:hanging="360"/>
      </w:pPr>
    </w:lvl>
    <w:lvl w:ilvl="5" w:tplc="09B4ACC2" w:tentative="1">
      <w:start w:val="1"/>
      <w:numFmt w:val="lowerRoman"/>
      <w:lvlText w:val="%6."/>
      <w:lvlJc w:val="right"/>
      <w:pPr>
        <w:ind w:left="4320" w:hanging="180"/>
      </w:pPr>
    </w:lvl>
    <w:lvl w:ilvl="6" w:tplc="08D2B9A2" w:tentative="1">
      <w:start w:val="1"/>
      <w:numFmt w:val="decimal"/>
      <w:lvlText w:val="%7."/>
      <w:lvlJc w:val="left"/>
      <w:pPr>
        <w:ind w:left="5040" w:hanging="360"/>
      </w:pPr>
    </w:lvl>
    <w:lvl w:ilvl="7" w:tplc="F5242CE6" w:tentative="1">
      <w:start w:val="1"/>
      <w:numFmt w:val="lowerLetter"/>
      <w:lvlText w:val="%8."/>
      <w:lvlJc w:val="left"/>
      <w:pPr>
        <w:ind w:left="5760" w:hanging="360"/>
      </w:pPr>
    </w:lvl>
    <w:lvl w:ilvl="8" w:tplc="039CE77C" w:tentative="1">
      <w:start w:val="1"/>
      <w:numFmt w:val="lowerRoman"/>
      <w:lvlText w:val="%9."/>
      <w:lvlJc w:val="right"/>
      <w:pPr>
        <w:ind w:left="6480" w:hanging="180"/>
      </w:pPr>
    </w:lvl>
  </w:abstractNum>
  <w:abstractNum w:abstractNumId="2" w15:restartNumberingAfterBreak="0">
    <w:nsid w:val="52763BFB"/>
    <w:multiLevelType w:val="hybridMultilevel"/>
    <w:tmpl w:val="567680CA"/>
    <w:lvl w:ilvl="0" w:tplc="452CF4B2">
      <w:start w:val="10"/>
      <w:numFmt w:val="decimal"/>
      <w:lvlText w:val="%1."/>
      <w:lvlJc w:val="left"/>
      <w:pPr>
        <w:ind w:left="720" w:hanging="360"/>
      </w:pPr>
      <w:rPr>
        <w:rFonts w:hint="default"/>
        <w:color w:val="auto"/>
      </w:rPr>
    </w:lvl>
    <w:lvl w:ilvl="1" w:tplc="EC168950" w:tentative="1">
      <w:start w:val="1"/>
      <w:numFmt w:val="lowerLetter"/>
      <w:lvlText w:val="%2."/>
      <w:lvlJc w:val="left"/>
      <w:pPr>
        <w:ind w:left="1440" w:hanging="360"/>
      </w:pPr>
    </w:lvl>
    <w:lvl w:ilvl="2" w:tplc="3A541786" w:tentative="1">
      <w:start w:val="1"/>
      <w:numFmt w:val="lowerRoman"/>
      <w:lvlText w:val="%3."/>
      <w:lvlJc w:val="right"/>
      <w:pPr>
        <w:ind w:left="2160" w:hanging="180"/>
      </w:pPr>
    </w:lvl>
    <w:lvl w:ilvl="3" w:tplc="E9285240" w:tentative="1">
      <w:start w:val="1"/>
      <w:numFmt w:val="decimal"/>
      <w:lvlText w:val="%4."/>
      <w:lvlJc w:val="left"/>
      <w:pPr>
        <w:ind w:left="2880" w:hanging="360"/>
      </w:pPr>
    </w:lvl>
    <w:lvl w:ilvl="4" w:tplc="CA6E6FE6" w:tentative="1">
      <w:start w:val="1"/>
      <w:numFmt w:val="lowerLetter"/>
      <w:lvlText w:val="%5."/>
      <w:lvlJc w:val="left"/>
      <w:pPr>
        <w:ind w:left="3600" w:hanging="360"/>
      </w:pPr>
    </w:lvl>
    <w:lvl w:ilvl="5" w:tplc="26365A7A" w:tentative="1">
      <w:start w:val="1"/>
      <w:numFmt w:val="lowerRoman"/>
      <w:lvlText w:val="%6."/>
      <w:lvlJc w:val="right"/>
      <w:pPr>
        <w:ind w:left="4320" w:hanging="180"/>
      </w:pPr>
    </w:lvl>
    <w:lvl w:ilvl="6" w:tplc="5DCE07DE" w:tentative="1">
      <w:start w:val="1"/>
      <w:numFmt w:val="decimal"/>
      <w:lvlText w:val="%7."/>
      <w:lvlJc w:val="left"/>
      <w:pPr>
        <w:ind w:left="5040" w:hanging="360"/>
      </w:pPr>
    </w:lvl>
    <w:lvl w:ilvl="7" w:tplc="2196BC88" w:tentative="1">
      <w:start w:val="1"/>
      <w:numFmt w:val="lowerLetter"/>
      <w:lvlText w:val="%8."/>
      <w:lvlJc w:val="left"/>
      <w:pPr>
        <w:ind w:left="5760" w:hanging="360"/>
      </w:pPr>
    </w:lvl>
    <w:lvl w:ilvl="8" w:tplc="47A85E9C" w:tentative="1">
      <w:start w:val="1"/>
      <w:numFmt w:val="lowerRoman"/>
      <w:lvlText w:val="%9."/>
      <w:lvlJc w:val="right"/>
      <w:pPr>
        <w:ind w:left="6480" w:hanging="180"/>
      </w:pPr>
    </w:lvl>
  </w:abstractNum>
  <w:abstractNum w:abstractNumId="3" w15:restartNumberingAfterBreak="0">
    <w:nsid w:val="56EA0FC2"/>
    <w:multiLevelType w:val="multilevel"/>
    <w:tmpl w:val="57EC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517393">
    <w:abstractNumId w:val="0"/>
  </w:num>
  <w:num w:numId="2" w16cid:durableId="956369527">
    <w:abstractNumId w:val="1"/>
  </w:num>
  <w:num w:numId="3" w16cid:durableId="1162622620">
    <w:abstractNumId w:val="2"/>
  </w:num>
  <w:num w:numId="4" w16cid:durableId="1641303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16"/>
    <w:rsid w:val="00022298"/>
    <w:rsid w:val="00023F06"/>
    <w:rsid w:val="00024B19"/>
    <w:rsid w:val="0004264C"/>
    <w:rsid w:val="00046E0A"/>
    <w:rsid w:val="00052F36"/>
    <w:rsid w:val="00071AA2"/>
    <w:rsid w:val="000722C8"/>
    <w:rsid w:val="00077FAE"/>
    <w:rsid w:val="00091382"/>
    <w:rsid w:val="00095CC4"/>
    <w:rsid w:val="000963C7"/>
    <w:rsid w:val="000A5F5B"/>
    <w:rsid w:val="000C01D0"/>
    <w:rsid w:val="000C3BDB"/>
    <w:rsid w:val="000E0BCF"/>
    <w:rsid w:val="000F0FCE"/>
    <w:rsid w:val="000F37F9"/>
    <w:rsid w:val="000F7036"/>
    <w:rsid w:val="0010027D"/>
    <w:rsid w:val="00110373"/>
    <w:rsid w:val="00116FBC"/>
    <w:rsid w:val="001174A2"/>
    <w:rsid w:val="0012130C"/>
    <w:rsid w:val="001300E9"/>
    <w:rsid w:val="00130DEB"/>
    <w:rsid w:val="00134FA7"/>
    <w:rsid w:val="00157224"/>
    <w:rsid w:val="00157A85"/>
    <w:rsid w:val="00160097"/>
    <w:rsid w:val="00170CC9"/>
    <w:rsid w:val="00187117"/>
    <w:rsid w:val="001C2111"/>
    <w:rsid w:val="001C31CE"/>
    <w:rsid w:val="001C7FD2"/>
    <w:rsid w:val="001E601A"/>
    <w:rsid w:val="001E6227"/>
    <w:rsid w:val="001F0459"/>
    <w:rsid w:val="00200782"/>
    <w:rsid w:val="00212D0F"/>
    <w:rsid w:val="002354E2"/>
    <w:rsid w:val="00235732"/>
    <w:rsid w:val="00253960"/>
    <w:rsid w:val="002563E6"/>
    <w:rsid w:val="0026219E"/>
    <w:rsid w:val="00265ED8"/>
    <w:rsid w:val="00273B92"/>
    <w:rsid w:val="002741EE"/>
    <w:rsid w:val="00277DE9"/>
    <w:rsid w:val="002870D0"/>
    <w:rsid w:val="002935A6"/>
    <w:rsid w:val="00294ADA"/>
    <w:rsid w:val="002A3F22"/>
    <w:rsid w:val="002F6F6C"/>
    <w:rsid w:val="00304C2F"/>
    <w:rsid w:val="00366E42"/>
    <w:rsid w:val="00381EAB"/>
    <w:rsid w:val="003966D1"/>
    <w:rsid w:val="003A66F8"/>
    <w:rsid w:val="003B37FB"/>
    <w:rsid w:val="003D0764"/>
    <w:rsid w:val="003D1BC7"/>
    <w:rsid w:val="003D1CAE"/>
    <w:rsid w:val="003D2FE4"/>
    <w:rsid w:val="003E6D5B"/>
    <w:rsid w:val="003F7CEA"/>
    <w:rsid w:val="004262EF"/>
    <w:rsid w:val="004375AF"/>
    <w:rsid w:val="00442BD6"/>
    <w:rsid w:val="00443947"/>
    <w:rsid w:val="00443CDE"/>
    <w:rsid w:val="00446460"/>
    <w:rsid w:val="00457ADD"/>
    <w:rsid w:val="00481E00"/>
    <w:rsid w:val="004A2C7A"/>
    <w:rsid w:val="004C60EB"/>
    <w:rsid w:val="004E3A82"/>
    <w:rsid w:val="00513DDB"/>
    <w:rsid w:val="005152A4"/>
    <w:rsid w:val="00526E58"/>
    <w:rsid w:val="005357F2"/>
    <w:rsid w:val="00556465"/>
    <w:rsid w:val="0057327C"/>
    <w:rsid w:val="00575328"/>
    <w:rsid w:val="0059736B"/>
    <w:rsid w:val="005A4ACC"/>
    <w:rsid w:val="005D759B"/>
    <w:rsid w:val="005E4775"/>
    <w:rsid w:val="005F1F30"/>
    <w:rsid w:val="006012D8"/>
    <w:rsid w:val="006107C7"/>
    <w:rsid w:val="00612AAC"/>
    <w:rsid w:val="0062370E"/>
    <w:rsid w:val="00625E16"/>
    <w:rsid w:val="006343F1"/>
    <w:rsid w:val="00635E12"/>
    <w:rsid w:val="00646396"/>
    <w:rsid w:val="00661A35"/>
    <w:rsid w:val="00671E3B"/>
    <w:rsid w:val="00672476"/>
    <w:rsid w:val="00677811"/>
    <w:rsid w:val="006B49C9"/>
    <w:rsid w:val="006C5DFC"/>
    <w:rsid w:val="006C6CA2"/>
    <w:rsid w:val="006D47B9"/>
    <w:rsid w:val="006E162B"/>
    <w:rsid w:val="006E5BA9"/>
    <w:rsid w:val="006E5D29"/>
    <w:rsid w:val="006E6A1B"/>
    <w:rsid w:val="00710B6B"/>
    <w:rsid w:val="007171F9"/>
    <w:rsid w:val="00745DAC"/>
    <w:rsid w:val="00767423"/>
    <w:rsid w:val="0078143E"/>
    <w:rsid w:val="00793482"/>
    <w:rsid w:val="007A116E"/>
    <w:rsid w:val="007D789D"/>
    <w:rsid w:val="007E6EE2"/>
    <w:rsid w:val="007F06ED"/>
    <w:rsid w:val="007F18D1"/>
    <w:rsid w:val="008154E2"/>
    <w:rsid w:val="0082196F"/>
    <w:rsid w:val="00830E72"/>
    <w:rsid w:val="00863630"/>
    <w:rsid w:val="0086714A"/>
    <w:rsid w:val="008737A2"/>
    <w:rsid w:val="008741BF"/>
    <w:rsid w:val="00893209"/>
    <w:rsid w:val="00896486"/>
    <w:rsid w:val="008967DD"/>
    <w:rsid w:val="008B5B58"/>
    <w:rsid w:val="008C2155"/>
    <w:rsid w:val="008E1E2B"/>
    <w:rsid w:val="009125FA"/>
    <w:rsid w:val="009146D8"/>
    <w:rsid w:val="009253E7"/>
    <w:rsid w:val="00927A14"/>
    <w:rsid w:val="00932ED8"/>
    <w:rsid w:val="00950722"/>
    <w:rsid w:val="009515EF"/>
    <w:rsid w:val="00974F43"/>
    <w:rsid w:val="009B32C0"/>
    <w:rsid w:val="009D475F"/>
    <w:rsid w:val="009E0097"/>
    <w:rsid w:val="009E18EB"/>
    <w:rsid w:val="009F49BA"/>
    <w:rsid w:val="00A02783"/>
    <w:rsid w:val="00A160DC"/>
    <w:rsid w:val="00A24964"/>
    <w:rsid w:val="00A419EE"/>
    <w:rsid w:val="00A82028"/>
    <w:rsid w:val="00A91813"/>
    <w:rsid w:val="00AA12D9"/>
    <w:rsid w:val="00AA47AF"/>
    <w:rsid w:val="00AA79FD"/>
    <w:rsid w:val="00AB7B70"/>
    <w:rsid w:val="00AC780A"/>
    <w:rsid w:val="00AD029B"/>
    <w:rsid w:val="00AD246C"/>
    <w:rsid w:val="00AD3D90"/>
    <w:rsid w:val="00B02973"/>
    <w:rsid w:val="00B23FF3"/>
    <w:rsid w:val="00B25C0D"/>
    <w:rsid w:val="00B30A24"/>
    <w:rsid w:val="00B34358"/>
    <w:rsid w:val="00B35E73"/>
    <w:rsid w:val="00B56CB6"/>
    <w:rsid w:val="00B61C63"/>
    <w:rsid w:val="00B6487B"/>
    <w:rsid w:val="00B71D28"/>
    <w:rsid w:val="00B7244D"/>
    <w:rsid w:val="00B72E13"/>
    <w:rsid w:val="00B76453"/>
    <w:rsid w:val="00B87488"/>
    <w:rsid w:val="00BA3241"/>
    <w:rsid w:val="00BB6ABF"/>
    <w:rsid w:val="00BC6891"/>
    <w:rsid w:val="00BD1B7F"/>
    <w:rsid w:val="00BD69AD"/>
    <w:rsid w:val="00BE06F5"/>
    <w:rsid w:val="00BF2B4B"/>
    <w:rsid w:val="00C035C1"/>
    <w:rsid w:val="00C1739D"/>
    <w:rsid w:val="00C2211D"/>
    <w:rsid w:val="00C24B51"/>
    <w:rsid w:val="00C35370"/>
    <w:rsid w:val="00C51D94"/>
    <w:rsid w:val="00C61ADC"/>
    <w:rsid w:val="00C72AAC"/>
    <w:rsid w:val="00C739CA"/>
    <w:rsid w:val="00C77E7B"/>
    <w:rsid w:val="00C82996"/>
    <w:rsid w:val="00C8489E"/>
    <w:rsid w:val="00C8741F"/>
    <w:rsid w:val="00C970E7"/>
    <w:rsid w:val="00C9758E"/>
    <w:rsid w:val="00CC0A59"/>
    <w:rsid w:val="00CC673E"/>
    <w:rsid w:val="00CE5289"/>
    <w:rsid w:val="00D02FAD"/>
    <w:rsid w:val="00D12C8F"/>
    <w:rsid w:val="00D53126"/>
    <w:rsid w:val="00D83F11"/>
    <w:rsid w:val="00D860DE"/>
    <w:rsid w:val="00D86592"/>
    <w:rsid w:val="00D9417C"/>
    <w:rsid w:val="00DB6CB1"/>
    <w:rsid w:val="00DF7D72"/>
    <w:rsid w:val="00E14F1D"/>
    <w:rsid w:val="00E16A70"/>
    <w:rsid w:val="00E32F7B"/>
    <w:rsid w:val="00E32FF9"/>
    <w:rsid w:val="00E33B80"/>
    <w:rsid w:val="00E33BC6"/>
    <w:rsid w:val="00E52F29"/>
    <w:rsid w:val="00E62C30"/>
    <w:rsid w:val="00E72B50"/>
    <w:rsid w:val="00E750C2"/>
    <w:rsid w:val="00E83E9E"/>
    <w:rsid w:val="00E924B3"/>
    <w:rsid w:val="00EC0F40"/>
    <w:rsid w:val="00EC1C77"/>
    <w:rsid w:val="00EC3B8D"/>
    <w:rsid w:val="00EC59EC"/>
    <w:rsid w:val="00F00A59"/>
    <w:rsid w:val="00F0503A"/>
    <w:rsid w:val="00F20461"/>
    <w:rsid w:val="00F21B47"/>
    <w:rsid w:val="00F21EE1"/>
    <w:rsid w:val="00F42F30"/>
    <w:rsid w:val="00F43ED7"/>
    <w:rsid w:val="00F86BFF"/>
    <w:rsid w:val="00F86FDD"/>
    <w:rsid w:val="00F920DA"/>
    <w:rsid w:val="00FB0E59"/>
    <w:rsid w:val="00FC159F"/>
    <w:rsid w:val="00FC33E4"/>
    <w:rsid w:val="00FC34C6"/>
    <w:rsid w:val="00FD350F"/>
    <w:rsid w:val="00FD5F55"/>
    <w:rsid w:val="00FE6B12"/>
    <w:rsid w:val="00FF1C41"/>
    <w:rsid w:val="00FF4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35AF4917"/>
  <w15:chartTrackingRefBased/>
  <w15:docId w15:val="{3ED28A1D-2C85-4A03-A8A3-DAE5A80F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5E16"/>
    <w:pPr>
      <w:spacing w:after="200" w:line="276" w:lineRule="auto"/>
      <w:ind w:left="720"/>
      <w:contextualSpacing/>
    </w:pPr>
    <w:rPr>
      <w:rFonts w:ascii="Calibri" w:eastAsia="Calibri" w:hAnsi="Calibri" w:cs="Times New Roman"/>
      <w:lang w:val="en-US"/>
    </w:rPr>
  </w:style>
  <w:style w:type="table" w:styleId="Tabellrutenett">
    <w:name w:val="Table Grid"/>
    <w:basedOn w:val="Vanligtabell"/>
    <w:uiPriority w:val="39"/>
    <w:rsid w:val="00121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EC1C7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C1C77"/>
    <w:rPr>
      <w:sz w:val="20"/>
      <w:szCs w:val="20"/>
    </w:rPr>
  </w:style>
  <w:style w:type="character" w:styleId="Fotnotereferanse">
    <w:name w:val="footnote reference"/>
    <w:basedOn w:val="Standardskriftforavsnitt"/>
    <w:unhideWhenUsed/>
    <w:rsid w:val="00EC1C77"/>
    <w:rPr>
      <w:vertAlign w:val="superscript"/>
    </w:rPr>
  </w:style>
  <w:style w:type="character" w:styleId="Hyperkobling">
    <w:name w:val="Hyperlink"/>
    <w:basedOn w:val="Standardskriftforavsnitt"/>
    <w:uiPriority w:val="99"/>
    <w:unhideWhenUsed/>
    <w:rsid w:val="0004264C"/>
    <w:rPr>
      <w:color w:val="0563C1" w:themeColor="hyperlink"/>
      <w:u w:val="single"/>
    </w:rPr>
  </w:style>
  <w:style w:type="character" w:customStyle="1" w:styleId="val">
    <w:name w:val="val"/>
    <w:basedOn w:val="Standardskriftforavsnitt"/>
    <w:rsid w:val="00B72E13"/>
  </w:style>
  <w:style w:type="paragraph" w:customStyle="1" w:styleId="Default">
    <w:name w:val="Default"/>
    <w:rsid w:val="006E162B"/>
    <w:pPr>
      <w:autoSpaceDE w:val="0"/>
      <w:autoSpaceDN w:val="0"/>
      <w:adjustRightInd w:val="0"/>
      <w:spacing w:after="0" w:line="240" w:lineRule="auto"/>
    </w:pPr>
    <w:rPr>
      <w:rFonts w:ascii="Charis SIL" w:hAnsi="Charis SIL" w:cs="Charis SIL"/>
      <w:color w:val="000000"/>
      <w:sz w:val="24"/>
      <w:szCs w:val="24"/>
      <w:lang w:val="en-US"/>
    </w:rPr>
  </w:style>
  <w:style w:type="paragraph" w:styleId="Topptekst">
    <w:name w:val="header"/>
    <w:basedOn w:val="Normal"/>
    <w:link w:val="TopptekstTegn"/>
    <w:uiPriority w:val="99"/>
    <w:unhideWhenUsed/>
    <w:rsid w:val="00170CC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170CC9"/>
  </w:style>
  <w:style w:type="paragraph" w:styleId="Bunntekst">
    <w:name w:val="footer"/>
    <w:basedOn w:val="Normal"/>
    <w:link w:val="BunntekstTegn"/>
    <w:uiPriority w:val="99"/>
    <w:unhideWhenUsed/>
    <w:rsid w:val="00170CC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170CC9"/>
  </w:style>
  <w:style w:type="character" w:styleId="Ulstomtale">
    <w:name w:val="Unresolved Mention"/>
    <w:basedOn w:val="Standardskriftforavsnitt"/>
    <w:uiPriority w:val="99"/>
    <w:semiHidden/>
    <w:unhideWhenUsed/>
    <w:rsid w:val="00426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8673">
      <w:bodyDiv w:val="1"/>
      <w:marLeft w:val="0"/>
      <w:marRight w:val="0"/>
      <w:marTop w:val="0"/>
      <w:marBottom w:val="0"/>
      <w:divBdr>
        <w:top w:val="none" w:sz="0" w:space="0" w:color="auto"/>
        <w:left w:val="none" w:sz="0" w:space="0" w:color="auto"/>
        <w:bottom w:val="none" w:sz="0" w:space="0" w:color="auto"/>
        <w:right w:val="none" w:sz="0" w:space="0" w:color="auto"/>
      </w:divBdr>
    </w:div>
    <w:div w:id="1417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19.wmf"/><Relationship Id="rId63" Type="http://schemas.openxmlformats.org/officeDocument/2006/relationships/oleObject" Target="embeddings/oleObject26.bin"/><Relationship Id="rId68" Type="http://schemas.openxmlformats.org/officeDocument/2006/relationships/image" Target="media/image27.wmf"/><Relationship Id="rId84" Type="http://schemas.openxmlformats.org/officeDocument/2006/relationships/oleObject" Target="embeddings/oleObject40.bin"/><Relationship Id="rId89" Type="http://schemas.openxmlformats.org/officeDocument/2006/relationships/image" Target="media/image34.wmf"/><Relationship Id="rId16" Type="http://schemas.openxmlformats.org/officeDocument/2006/relationships/image" Target="media/image4.wmf"/><Relationship Id="rId11" Type="http://schemas.openxmlformats.org/officeDocument/2006/relationships/oleObject" Target="embeddings/oleObject1.bin"/><Relationship Id="rId32" Type="http://schemas.openxmlformats.org/officeDocument/2006/relationships/oleObject" Target="embeddings/oleObject13.bin"/><Relationship Id="rId37" Type="http://schemas.openxmlformats.org/officeDocument/2006/relationships/image" Target="media/image14.wmf"/><Relationship Id="rId53" Type="http://schemas.openxmlformats.org/officeDocument/2006/relationships/hyperlink" Target="https://onlinelibrary.wiley.com/toc/10991719/2021/29/2" TargetMode="External"/><Relationship Id="rId58" Type="http://schemas.openxmlformats.org/officeDocument/2006/relationships/image" Target="media/image22.wmf"/><Relationship Id="rId74" Type="http://schemas.openxmlformats.org/officeDocument/2006/relationships/oleObject" Target="embeddings/oleObject34.bin"/><Relationship Id="rId79" Type="http://schemas.openxmlformats.org/officeDocument/2006/relationships/oleObject" Target="embeddings/oleObject37.bin"/><Relationship Id="rId5" Type="http://schemas.openxmlformats.org/officeDocument/2006/relationships/footnotes" Target="footnotes.xml"/><Relationship Id="rId90" Type="http://schemas.openxmlformats.org/officeDocument/2006/relationships/oleObject" Target="embeddings/oleObject43.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7.wmf"/><Relationship Id="rId48" Type="http://schemas.openxmlformats.org/officeDocument/2006/relationships/oleObject" Target="embeddings/oleObject21.bin"/><Relationship Id="rId64" Type="http://schemas.openxmlformats.org/officeDocument/2006/relationships/image" Target="media/image25.wmf"/><Relationship Id="rId69" Type="http://schemas.openxmlformats.org/officeDocument/2006/relationships/oleObject" Target="embeddings/oleObject29.bin"/><Relationship Id="rId8" Type="http://schemas.openxmlformats.org/officeDocument/2006/relationships/hyperlink" Target="https://doi-org.ezproxy.inn.no/10.1080/13683500.2022.2157706" TargetMode="External"/><Relationship Id="rId51" Type="http://schemas.openxmlformats.org/officeDocument/2006/relationships/image" Target="media/image21.wmf"/><Relationship Id="rId72" Type="http://schemas.openxmlformats.org/officeDocument/2006/relationships/oleObject" Target="embeddings/oleObject32.bin"/><Relationship Id="rId80" Type="http://schemas.openxmlformats.org/officeDocument/2006/relationships/oleObject" Target="embeddings/oleObject38.bin"/><Relationship Id="rId85" Type="http://schemas.openxmlformats.org/officeDocument/2006/relationships/image" Target="media/image32.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hyperlink" Target="https://ec.europa.eu/eurostat/statistics-explained/index.php?title=Environmental_tax_statistics" TargetMode="External"/><Relationship Id="rId62" Type="http://schemas.openxmlformats.org/officeDocument/2006/relationships/image" Target="media/image24.wmf"/><Relationship Id="rId70" Type="http://schemas.openxmlformats.org/officeDocument/2006/relationships/oleObject" Target="embeddings/oleObject30.bin"/><Relationship Id="rId75" Type="http://schemas.openxmlformats.org/officeDocument/2006/relationships/oleObject" Target="embeddings/oleObject35.bin"/><Relationship Id="rId83" Type="http://schemas.openxmlformats.org/officeDocument/2006/relationships/image" Target="media/image31.wmf"/><Relationship Id="rId88" Type="http://schemas.openxmlformats.org/officeDocument/2006/relationships/oleObject" Target="embeddings/oleObject42.bin"/><Relationship Id="rId91"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footer" Target="footer1.xml"/><Relationship Id="rId10" Type="http://schemas.openxmlformats.org/officeDocument/2006/relationships/image" Target="media/image1.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27.bin"/><Relationship Id="rId73" Type="http://schemas.openxmlformats.org/officeDocument/2006/relationships/oleObject" Target="embeddings/oleObject33.bin"/><Relationship Id="rId78" Type="http://schemas.openxmlformats.org/officeDocument/2006/relationships/image" Target="media/image29.wmf"/><Relationship Id="rId81" Type="http://schemas.openxmlformats.org/officeDocument/2006/relationships/image" Target="media/image30.wmf"/><Relationship Id="rId86" Type="http://schemas.openxmlformats.org/officeDocument/2006/relationships/oleObject" Target="embeddings/oleObject41.bin"/><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esin.columbia.edu/indicators/ES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5.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hyperlink" Target="https://www.eea.europa.eu/publications/the-role-of-environmental-taxation" TargetMode="External"/><Relationship Id="rId76" Type="http://schemas.openxmlformats.org/officeDocument/2006/relationships/image" Target="media/image28.wmf"/><Relationship Id="rId7" Type="http://schemas.openxmlformats.org/officeDocument/2006/relationships/hyperlink" Target="https://doi-org.ezproxy.inn.no/10.1080/13683500.2022.2157706" TargetMode="External"/><Relationship Id="rId71" Type="http://schemas.openxmlformats.org/officeDocument/2006/relationships/oleObject" Target="embeddings/oleObject31.bin"/><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6.wmf"/><Relationship Id="rId40" Type="http://schemas.openxmlformats.org/officeDocument/2006/relationships/oleObject" Target="embeddings/oleObject17.bin"/><Relationship Id="rId45" Type="http://schemas.openxmlformats.org/officeDocument/2006/relationships/image" Target="media/image18.wmf"/><Relationship Id="rId66" Type="http://schemas.openxmlformats.org/officeDocument/2006/relationships/image" Target="media/image26.wmf"/><Relationship Id="rId87" Type="http://schemas.openxmlformats.org/officeDocument/2006/relationships/image" Target="media/image33.wmf"/><Relationship Id="rId61" Type="http://schemas.openxmlformats.org/officeDocument/2006/relationships/oleObject" Target="embeddings/oleObject25.bin"/><Relationship Id="rId82" Type="http://schemas.openxmlformats.org/officeDocument/2006/relationships/oleObject" Target="embeddings/oleObject39.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image" Target="media/image13.wmf"/><Relationship Id="rId56" Type="http://schemas.openxmlformats.org/officeDocument/2006/relationships/hyperlink" Target="https://etc-corporate.org/reports/european-tourism-2022-trends-prospects-q1-2022/" TargetMode="External"/><Relationship Id="rId77" Type="http://schemas.openxmlformats.org/officeDocument/2006/relationships/oleObject" Target="embeddings/oleObject36.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7365</Words>
  <Characters>39039</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ojonugwa</dc:creator>
  <cp:lastModifiedBy>Aleksandra Dagmara Jania</cp:lastModifiedBy>
  <cp:revision>2</cp:revision>
  <dcterms:created xsi:type="dcterms:W3CDTF">2024-02-22T11:31:00Z</dcterms:created>
  <dcterms:modified xsi:type="dcterms:W3CDTF">2024-02-22T11:31:00Z</dcterms:modified>
</cp:coreProperties>
</file>